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jc w:val="center"/>
        <w:rPr>
          <w:sz w:val="56"/>
          <w:szCs w:val="56"/>
        </w:rPr>
      </w:pPr>
    </w:p>
    <w:p>
      <w:pPr>
        <w:pStyle w:val="12"/>
        <w:jc w:val="center"/>
        <w:rPr>
          <w:sz w:val="56"/>
          <w:szCs w:val="56"/>
        </w:rPr>
      </w:pPr>
    </w:p>
    <w:p>
      <w:pPr>
        <w:pStyle w:val="12"/>
        <w:jc w:val="center"/>
        <w:rPr>
          <w:sz w:val="84"/>
          <w:szCs w:val="84"/>
        </w:rPr>
      </w:pPr>
    </w:p>
    <w:p>
      <w:pPr>
        <w:pStyle w:val="12"/>
        <w:jc w:val="center"/>
        <w:rPr>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4</w:t>
      </w:r>
      <w:r>
        <w:rPr>
          <w:rFonts w:hint="eastAsia" w:ascii="方正小标宋_GBK" w:hAnsi="方正小标宋_GBK" w:eastAsia="方正小标宋_GBK" w:cs="方正小标宋_GBK"/>
          <w:sz w:val="84"/>
          <w:szCs w:val="84"/>
        </w:rPr>
        <w:t>年度</w:t>
      </w: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岳阳市考古研究和文物保护中心</w:t>
      </w:r>
      <w:r>
        <w:rPr>
          <w:rFonts w:hint="eastAsia" w:ascii="方正小标宋_GBK" w:hAnsi="方正小标宋_GBK" w:eastAsia="方正小标宋_GBK" w:cs="方正小标宋_GBK"/>
          <w:sz w:val="84"/>
          <w:szCs w:val="84"/>
        </w:rPr>
        <w:t>部门决算</w:t>
      </w:r>
    </w:p>
    <w:p>
      <w:pPr>
        <w:pStyle w:val="12"/>
        <w:jc w:val="center"/>
        <w:rPr>
          <w:rFonts w:hint="eastAsia" w:ascii="方正小标宋_GBK" w:hAnsi="方正小标宋_GBK" w:eastAsia="方正小标宋_GBK" w:cs="方正小标宋_GBK"/>
          <w:sz w:val="56"/>
          <w:szCs w:val="56"/>
        </w:rPr>
      </w:pPr>
    </w:p>
    <w:p>
      <w:pPr>
        <w:pStyle w:val="12"/>
        <w:jc w:val="center"/>
        <w:rPr>
          <w:sz w:val="56"/>
          <w:szCs w:val="56"/>
        </w:rPr>
      </w:pPr>
    </w:p>
    <w:p>
      <w:pPr>
        <w:pStyle w:val="12"/>
        <w:jc w:val="center"/>
        <w:rPr>
          <w:sz w:val="56"/>
          <w:szCs w:val="56"/>
        </w:rPr>
      </w:pPr>
    </w:p>
    <w:p>
      <w:pPr>
        <w:pStyle w:val="12"/>
        <w:jc w:val="center"/>
        <w:rPr>
          <w:sz w:val="56"/>
          <w:szCs w:val="56"/>
        </w:rPr>
      </w:pPr>
    </w:p>
    <w:p>
      <w:pPr>
        <w:pStyle w:val="12"/>
        <w:jc w:val="center"/>
        <w:rPr>
          <w:sz w:val="32"/>
          <w:szCs w:val="32"/>
        </w:rPr>
      </w:pPr>
    </w:p>
    <w:p>
      <w:pPr>
        <w:pStyle w:val="12"/>
        <w:jc w:val="center"/>
        <w:rPr>
          <w:sz w:val="32"/>
          <w:szCs w:val="32"/>
        </w:rPr>
      </w:pPr>
    </w:p>
    <w:p>
      <w:pPr>
        <w:pStyle w:val="12"/>
        <w:spacing w:line="540" w:lineRule="exact"/>
        <w:jc w:val="both"/>
        <w:rPr>
          <w:sz w:val="56"/>
          <w:szCs w:val="56"/>
        </w:rPr>
      </w:pPr>
    </w:p>
    <w:p>
      <w:pPr>
        <w:pStyle w:val="12"/>
        <w:spacing w:line="500" w:lineRule="exact"/>
        <w:jc w:val="both"/>
        <w:rPr>
          <w:b/>
          <w:sz w:val="36"/>
          <w:szCs w:val="28"/>
        </w:rPr>
      </w:pPr>
    </w:p>
    <w:p>
      <w:pPr>
        <w:pStyle w:val="12"/>
        <w:spacing w:line="500" w:lineRule="exact"/>
        <w:jc w:val="center"/>
        <w:rPr>
          <w:rFonts w:hint="eastAsia"/>
          <w:b/>
          <w:sz w:val="36"/>
          <w:szCs w:val="28"/>
        </w:rPr>
      </w:pPr>
    </w:p>
    <w:p>
      <w:pPr>
        <w:pStyle w:val="12"/>
        <w:spacing w:line="500" w:lineRule="exact"/>
        <w:jc w:val="center"/>
        <w:rPr>
          <w:b/>
          <w:sz w:val="36"/>
          <w:szCs w:val="28"/>
        </w:rPr>
      </w:pPr>
      <w:r>
        <w:rPr>
          <w:rFonts w:hint="eastAsia"/>
          <w:b/>
          <w:sz w:val="36"/>
          <w:szCs w:val="28"/>
        </w:rPr>
        <w:t>目录</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岳阳市考古研究和文物保护中心</w:t>
      </w:r>
      <w:r>
        <w:rPr>
          <w:rFonts w:hint="eastAsia" w:ascii="黑体" w:hAnsi="黑体" w:eastAsia="黑体" w:cs="黑体"/>
          <w:b w:val="0"/>
          <w:bCs/>
          <w:sz w:val="28"/>
          <w:szCs w:val="28"/>
          <w:lang w:eastAsia="zh-CN"/>
        </w:rPr>
        <w:t>部门</w:t>
      </w:r>
      <w:r>
        <w:rPr>
          <w:rFonts w:hint="eastAsia" w:ascii="黑体" w:hAnsi="黑体" w:eastAsia="黑体" w:cs="黑体"/>
          <w:b w:val="0"/>
          <w:bCs/>
          <w:sz w:val="28"/>
          <w:szCs w:val="28"/>
        </w:rPr>
        <w:t>概况</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pPr>
        <w:pStyle w:val="12"/>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none"/>
        </w:rPr>
        <w:t>八、</w:t>
      </w:r>
      <w:r>
        <w:rPr>
          <w:rFonts w:hint="eastAsia" w:ascii="仿宋_GB2312" w:hAnsi="仿宋_GB2312" w:eastAsia="仿宋_GB2312" w:cs="仿宋_GB2312"/>
          <w:sz w:val="28"/>
          <w:szCs w:val="28"/>
          <w:highlight w:val="none"/>
        </w:rPr>
        <w:t>国有资本经营预算财政拨款支出决算</w:t>
      </w:r>
      <w:r>
        <w:rPr>
          <w:rFonts w:hint="eastAsia" w:ascii="仿宋_GB2312" w:hAnsi="仿宋_GB2312" w:eastAsia="仿宋_GB2312" w:cs="仿宋_GB2312"/>
          <w:sz w:val="28"/>
          <w:szCs w:val="28"/>
          <w:highlight w:val="none"/>
          <w:lang w:eastAsia="zh-CN"/>
        </w:rPr>
        <w:t>情况</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pPr>
        <w:pStyle w:val="12"/>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SA"/>
        </w:rPr>
        <w:t>十四、</w:t>
      </w:r>
      <w:r>
        <w:rPr>
          <w:rFonts w:hint="eastAsia" w:ascii="仿宋_GB2312" w:hAnsi="仿宋_GB2312" w:eastAsia="仿宋_GB2312" w:cs="仿宋_GB2312"/>
          <w:sz w:val="28"/>
          <w:szCs w:val="28"/>
          <w:highlight w:val="none"/>
        </w:rPr>
        <w:t>关于</w:t>
      </w:r>
      <w:r>
        <w:rPr>
          <w:rFonts w:hint="default" w:ascii="Times New Roman" w:hAnsi="Times New Roman" w:eastAsia="仿宋_GB2312" w:cs="Times New Roman"/>
          <w:sz w:val="28"/>
          <w:szCs w:val="28"/>
          <w:highlight w:val="none"/>
        </w:rPr>
        <w:t>202</w:t>
      </w:r>
      <w:r>
        <w:rPr>
          <w:rFonts w:hint="eastAsia" w:ascii="Times New Roman" w:hAnsi="Times New Roman" w:eastAsia="仿宋_GB2312" w:cs="Times New Roman"/>
          <w:sz w:val="28"/>
          <w:szCs w:val="28"/>
          <w:highlight w:val="none"/>
          <w:lang w:val="en-US" w:eastAsia="zh-CN"/>
        </w:rPr>
        <w:t>4</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w:t>
      </w:r>
      <w:r>
        <w:rPr>
          <w:rFonts w:hint="eastAsia" w:ascii="仿宋_GB2312" w:hAnsi="仿宋_GB2312" w:eastAsia="仿宋_GB2312" w:cs="仿宋_GB2312"/>
          <w:sz w:val="28"/>
          <w:szCs w:val="28"/>
          <w:highlight w:val="none"/>
          <w:lang w:eastAsia="zh-CN"/>
        </w:rPr>
        <w:t>管理</w:t>
      </w:r>
      <w:r>
        <w:rPr>
          <w:rFonts w:hint="eastAsia" w:ascii="仿宋_GB2312" w:hAnsi="仿宋_GB2312" w:eastAsia="仿宋_GB2312" w:cs="仿宋_GB2312"/>
          <w:sz w:val="28"/>
          <w:szCs w:val="28"/>
          <w:highlight w:val="none"/>
        </w:rPr>
        <w:t>情况的说明</w:t>
      </w:r>
    </w:p>
    <w:p>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pPr>
        <w:pStyle w:val="12"/>
        <w:jc w:val="center"/>
        <w:rPr>
          <w:rFonts w:hint="eastAsia" w:ascii="方正小标宋_GBK" w:hAnsi="方正小标宋_GBK" w:eastAsia="方正小标宋_GBK" w:cs="方正小标宋_GBK"/>
          <w:sz w:val="84"/>
          <w:szCs w:val="84"/>
        </w:rPr>
      </w:pPr>
    </w:p>
    <w:p>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岳阳市考古研究和文物保护中心部门</w:t>
      </w:r>
      <w:r>
        <w:rPr>
          <w:rFonts w:hint="eastAsia" w:ascii="方正小标宋_GBK" w:hAnsi="方正小标宋_GBK" w:eastAsia="方正小标宋_GBK" w:cs="方正小标宋_GBK"/>
          <w:sz w:val="84"/>
          <w:szCs w:val="84"/>
        </w:rPr>
        <w:t>概况</w:t>
      </w:r>
    </w:p>
    <w:p>
      <w:pPr>
        <w:pStyle w:val="2"/>
        <w:rPr>
          <w:rFonts w:hint="eastAsia" w:ascii="方正小标宋_GBK" w:hAnsi="方正小标宋_GBK" w:eastAsia="方正小标宋_GBK" w:cs="方正小标宋_GBK"/>
          <w:sz w:val="84"/>
          <w:szCs w:val="84"/>
        </w:rPr>
      </w:pPr>
    </w:p>
    <w:p>
      <w:pPr>
        <w:pStyle w:val="3"/>
        <w:rPr>
          <w:rFonts w:hint="eastAsia" w:ascii="方正小标宋_GBK" w:hAnsi="方正小标宋_GBK" w:eastAsia="方正小标宋_GBK" w:cs="方正小标宋_GBK"/>
          <w:sz w:val="84"/>
          <w:szCs w:val="84"/>
        </w:rPr>
      </w:pPr>
    </w:p>
    <w:p>
      <w:pPr>
        <w:pStyle w:val="3"/>
        <w:ind w:left="0" w:leftChars="0" w:firstLine="0" w:firstLineChars="0"/>
        <w:rPr>
          <w:rFonts w:hint="eastAsia" w:ascii="方正小标宋_GBK" w:hAnsi="方正小标宋_GBK" w:eastAsia="方正小标宋_GBK" w:cs="方正小标宋_GBK"/>
          <w:sz w:val="84"/>
          <w:szCs w:val="84"/>
        </w:rPr>
      </w:pPr>
    </w:p>
    <w:p>
      <w:pPr>
        <w:rPr>
          <w:rFonts w:hint="eastAsia"/>
        </w:rPr>
      </w:pPr>
    </w:p>
    <w:p>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pPr>
        <w:keepNext/>
        <w:keepLines/>
        <w:shd w:val="clear" w:color="auto" w:fill="FFFFFF"/>
        <w:spacing w:beforeLines="0" w:afterLines="0"/>
        <w:ind w:firstLine="640"/>
        <w:jc w:val="left"/>
        <w:rPr>
          <w:rFonts w:hint="eastAsia" w:ascii="Times New Roman" w:hAnsi="Times New Roman" w:eastAsia="仿宋_GB2312" w:cs="仿宋_GB2312"/>
          <w:sz w:val="32"/>
          <w:szCs w:val="32"/>
        </w:rPr>
      </w:pPr>
      <w:r>
        <w:rPr>
          <w:rFonts w:hint="eastAsia" w:ascii="Times New Roman" w:hAnsi="Times New Roman" w:eastAsia="仿宋_GB2312" w:cs="仿宋_GB2312"/>
          <w:sz w:val="32"/>
          <w:szCs w:val="32"/>
        </w:rPr>
        <w:t>（一）主要负责直属管理的各级文物保护单位的日常管理、保护利用等相关工作；承担全市的文物、考古发掘和非遗保护的业务，协助开展打击文物犯罪活动和涉案文物鉴定工作；负责指导全市不可移动文物普查和专项调查，参与各级文物保护单位的申报、推荐工作，协助开展历史文化名城名镇名村和传统村落的保护利用；参与拟订文化遗产的地方性法规、规章并组织实施的行政辅助工作；负责直属文物保护单位“四有”资料的收集整理建档，文物保护规划、项目计划、文物保护工程方案的编制、评审和报批的行政辅助，协助做好文物保护工程全流程管理；建立全市非物质文化遗产档案，组织开展全市非物质文化遗产的普查、挖掘、抢救、整理、项目业务指导等工作；除了以上各项为机关提供支持保障的职能，我中心还承担全市文物和非遗保护的业务培训、学术交流和研究，文物科技保护与修复的技术支撑，文物价值阐释传播等公益服务职能。</w:t>
      </w:r>
    </w:p>
    <w:p>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pPr>
        <w:widowControl/>
        <w:spacing w:line="600" w:lineRule="exact"/>
        <w:rPr>
          <w:rFonts w:hint="eastAsia"/>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kern w:val="0"/>
          <w:sz w:val="32"/>
          <w:szCs w:val="32"/>
          <w:lang w:eastAsia="zh-CN"/>
        </w:rPr>
        <w:t>岳阳市考古研究和文物保护中心</w:t>
      </w:r>
      <w:r>
        <w:rPr>
          <w:rFonts w:hint="eastAsia" w:ascii="Times New Roman" w:hAnsi="Times New Roman" w:eastAsia="仿宋_GB2312" w:cs="仿宋_GB2312"/>
          <w:bCs/>
          <w:kern w:val="0"/>
          <w:sz w:val="32"/>
          <w:szCs w:val="32"/>
        </w:rPr>
        <w:t>单位内设机构包括：综合、文物保护、非遗保护、宣教展示利用、文庙开放管理、岳阳楼书画院、离退休管理部、党办、考古9个内设机构和一个分支机构君山岛文物管理所。</w:t>
      </w:r>
    </w:p>
    <w:p>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eastAsia="zh-CN"/>
        </w:rPr>
        <w:t>岳阳市考古研究和文物保护中心</w:t>
      </w:r>
      <w:r>
        <w:rPr>
          <w:rFonts w:hint="eastAsia" w:ascii="Times New Roman" w:hAnsi="Times New Roman" w:eastAsia="仿宋_GB2312" w:cs="仿宋_GB2312"/>
          <w:bCs/>
          <w:kern w:val="0"/>
          <w:sz w:val="32"/>
          <w:szCs w:val="32"/>
        </w:rPr>
        <w:t>单位202</w:t>
      </w:r>
      <w:r>
        <w:rPr>
          <w:rFonts w:hint="eastAsia" w:ascii="Times New Roman" w:hAnsi="Times New Roman" w:eastAsia="仿宋_GB2312" w:cs="仿宋_GB2312"/>
          <w:bCs/>
          <w:kern w:val="0"/>
          <w:sz w:val="32"/>
          <w:szCs w:val="32"/>
          <w:lang w:val="en-US" w:eastAsia="zh-CN"/>
        </w:rPr>
        <w:t>4</w:t>
      </w:r>
      <w:r>
        <w:rPr>
          <w:rFonts w:hint="eastAsia" w:ascii="Times New Roman" w:hAnsi="Times New Roman" w:eastAsia="仿宋_GB2312" w:cs="仿宋_GB2312"/>
          <w:bCs/>
          <w:kern w:val="0"/>
          <w:sz w:val="32"/>
          <w:szCs w:val="32"/>
        </w:rPr>
        <w:t>年部门决算汇总公开单位构成包括：本单位无独立核算的下属单位</w:t>
      </w:r>
      <w:r>
        <w:rPr>
          <w:rFonts w:hint="eastAsia" w:ascii="Times New Roman" w:hAnsi="Times New Roman" w:eastAsia="仿宋_GB2312" w:cs="仿宋_GB2312"/>
          <w:bCs/>
          <w:kern w:val="0"/>
          <w:sz w:val="32"/>
          <w:szCs w:val="32"/>
          <w:lang w:eastAsia="zh-CN"/>
        </w:rPr>
        <w:t>，</w:t>
      </w:r>
      <w:r>
        <w:rPr>
          <w:rFonts w:hint="eastAsia" w:ascii="Times New Roman" w:hAnsi="Times New Roman" w:eastAsia="仿宋_GB2312" w:cs="仿宋_GB2312"/>
          <w:bCs/>
          <w:kern w:val="0"/>
          <w:sz w:val="32"/>
          <w:szCs w:val="32"/>
        </w:rPr>
        <w:t>202</w:t>
      </w:r>
      <w:r>
        <w:rPr>
          <w:rFonts w:hint="eastAsia" w:ascii="Times New Roman" w:hAnsi="Times New Roman" w:eastAsia="仿宋_GB2312" w:cs="仿宋_GB2312"/>
          <w:bCs/>
          <w:kern w:val="0"/>
          <w:sz w:val="32"/>
          <w:szCs w:val="32"/>
          <w:lang w:val="en-US" w:eastAsia="zh-CN"/>
        </w:rPr>
        <w:t>4</w:t>
      </w:r>
      <w:r>
        <w:rPr>
          <w:rFonts w:hint="eastAsia" w:ascii="Times New Roman" w:hAnsi="Times New Roman" w:eastAsia="仿宋_GB2312" w:cs="仿宋_GB2312"/>
          <w:bCs/>
          <w:kern w:val="0"/>
          <w:sz w:val="32"/>
          <w:szCs w:val="32"/>
        </w:rPr>
        <w:t>年度部门决算汇总公开单位仅包括</w:t>
      </w:r>
      <w:r>
        <w:rPr>
          <w:rFonts w:hint="eastAsia" w:ascii="Times New Roman" w:hAnsi="Times New Roman" w:eastAsia="仿宋_GB2312" w:cs="仿宋_GB2312"/>
          <w:bCs/>
          <w:kern w:val="0"/>
          <w:sz w:val="32"/>
          <w:szCs w:val="32"/>
          <w:lang w:eastAsia="zh-CN"/>
        </w:rPr>
        <w:t>岳阳市考古研究和文物保护中心</w:t>
      </w:r>
      <w:r>
        <w:rPr>
          <w:rFonts w:hint="eastAsia" w:ascii="Times New Roman" w:hAnsi="Times New Roman" w:eastAsia="仿宋_GB2312" w:cs="仿宋_GB2312"/>
          <w:bCs/>
          <w:kern w:val="0"/>
          <w:sz w:val="32"/>
          <w:szCs w:val="32"/>
        </w:rPr>
        <w:t>单位本级</w:t>
      </w:r>
      <w:r>
        <w:rPr>
          <w:rFonts w:hint="eastAsia" w:ascii="Times New Roman" w:hAnsi="Times New Roman" w:eastAsia="仿宋_GB2312" w:cs="仿宋_GB2312"/>
          <w:bCs/>
          <w:kern w:val="0"/>
          <w:sz w:val="32"/>
          <w:szCs w:val="32"/>
          <w:lang w:eastAsia="zh-CN"/>
        </w:rPr>
        <w:t>。</w:t>
      </w:r>
    </w:p>
    <w:p>
      <w:pPr>
        <w:jc w:val="left"/>
        <w:rPr>
          <w:rFonts w:ascii="仿宋_GB2312" w:eastAsia="仿宋_GB2312" w:hAnsiTheme="minorEastAsia"/>
          <w:sz w:val="28"/>
          <w:szCs w:val="32"/>
        </w:rPr>
      </w:pPr>
    </w:p>
    <w:p/>
    <w:p>
      <w:pPr>
        <w:pStyle w:val="2"/>
      </w:pPr>
    </w:p>
    <w:p>
      <w:pPr>
        <w:pStyle w:val="3"/>
      </w:pPr>
    </w:p>
    <w:p/>
    <w:p>
      <w:pPr>
        <w:pStyle w:val="2"/>
      </w:pPr>
    </w:p>
    <w:p>
      <w:pPr>
        <w:pStyle w:val="3"/>
      </w:pPr>
    </w:p>
    <w:p/>
    <w:p>
      <w:pPr>
        <w:pStyle w:val="3"/>
        <w:ind w:left="0" w:leftChars="0" w:firstLine="0" w:firstLineChars="0"/>
      </w:pPr>
    </w:p>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pPr>
        <w:pStyle w:val="12"/>
        <w:jc w:val="center"/>
        <w:rPr>
          <w:rFonts w:hint="eastAsia" w:ascii="方正小标宋_GBK" w:hAnsi="方正小标宋_GBK" w:eastAsia="方正小标宋_GBK" w:cs="方正小标宋_GBK"/>
          <w:sz w:val="84"/>
          <w:szCs w:val="84"/>
        </w:rPr>
      </w:pPr>
    </w:p>
    <w:p>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仿宋_GB2312" w:hAnsi="仿宋_GB2312" w:eastAsia="仿宋_GB2312" w:cs="仿宋_GB2312"/>
          <w:b w:val="0"/>
          <w:bCs w:val="0"/>
          <w:sz w:val="72"/>
          <w:szCs w:val="72"/>
          <w:lang w:eastAsia="zh-CN"/>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both"/>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4</w:t>
      </w:r>
      <w:r>
        <w:rPr>
          <w:rFonts w:hint="eastAsia" w:ascii="方正小标宋_GBK" w:hAnsi="方正小标宋_GBK" w:eastAsia="方正小标宋_GBK" w:cs="方正小标宋_GBK"/>
          <w:sz w:val="70"/>
          <w:szCs w:val="70"/>
        </w:rPr>
        <w:t>年度部门决算情况说明</w:t>
      </w: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pStyle w:val="12"/>
        <w:jc w:val="center"/>
        <w:rPr>
          <w:rFonts w:hint="eastAsia" w:ascii="方正小标宋_GBK" w:hAnsi="方正小标宋_GBK" w:eastAsia="方正小标宋_GBK" w:cs="方正小标宋_GBK"/>
          <w:sz w:val="70"/>
          <w:szCs w:val="70"/>
        </w:rPr>
      </w:pPr>
    </w:p>
    <w:p>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完成年初预算的XX%</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i/>
          <w:iCs/>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2282.11</w:t>
      </w:r>
      <w:r>
        <w:rPr>
          <w:rFonts w:hint="eastAsia" w:ascii="仿宋_GB2312" w:hAnsi="仿宋_GB2312" w:eastAsia="仿宋_GB2312" w:cs="仿宋_GB2312"/>
          <w:sz w:val="32"/>
          <w:szCs w:val="32"/>
        </w:rPr>
        <w:t>万元。与上年相比，减少</w:t>
      </w:r>
      <w:r>
        <w:rPr>
          <w:rFonts w:hint="eastAsia" w:ascii="仿宋_GB2312" w:hAnsi="仿宋_GB2312" w:eastAsia="仿宋_GB2312" w:cs="仿宋_GB2312"/>
          <w:sz w:val="32"/>
          <w:szCs w:val="32"/>
          <w:lang w:val="en-US" w:eastAsia="zh-CN"/>
        </w:rPr>
        <w:t>105.48</w:t>
      </w:r>
      <w:r>
        <w:rPr>
          <w:rFonts w:hint="eastAsia" w:ascii="仿宋_GB2312" w:hAnsi="仿宋_GB2312" w:eastAsia="仿宋_GB2312" w:cs="仿宋_GB2312"/>
          <w:sz w:val="32"/>
          <w:szCs w:val="32"/>
        </w:rPr>
        <w:t>万元，减少</w:t>
      </w:r>
      <w:r>
        <w:rPr>
          <w:rFonts w:hint="eastAsia" w:ascii="仿宋_GB2312" w:hAnsi="仿宋_GB2312" w:eastAsia="仿宋_GB2312" w:cs="仿宋_GB2312"/>
          <w:sz w:val="32"/>
          <w:szCs w:val="32"/>
          <w:lang w:val="en-US" w:eastAsia="zh-CN"/>
        </w:rPr>
        <w:t>4.42</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val="en-US" w:eastAsia="zh-CN"/>
        </w:rPr>
        <w:t>单位其他收入较上年减少。</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2282.11</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1684.01</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73.79</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598.1</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26.21</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2274.31</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1377.28</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60.56</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897.03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39.44</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pPr>
        <w:pStyle w:val="12"/>
        <w:keepNext w:val="0"/>
        <w:keepLines w:val="0"/>
        <w:pageBreakBefore w:val="0"/>
        <w:widowControl w:val="0"/>
        <w:kinsoku/>
        <w:wordWrap/>
        <w:overflowPunct/>
        <w:topLinePunct w:val="0"/>
        <w:bidi w:val="0"/>
        <w:snapToGrid/>
        <w:spacing w:line="600" w:lineRule="exact"/>
        <w:textAlignment w:val="auto"/>
        <w:rPr>
          <w:rFonts w:hint="eastAsia" w:ascii="楷体" w:hAnsi="楷体" w:eastAsia="楷体" w:cs="楷体"/>
          <w:i/>
          <w:iCs/>
          <w:color w:val="000000"/>
          <w:kern w:val="0"/>
          <w:sz w:val="32"/>
          <w:szCs w:val="32"/>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1684.01</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14.7</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0.88</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单位人员增加造成单位基本支出增加。</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i/>
          <w:iCs/>
          <w:color w:val="FF0000"/>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1684.01</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73.79</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14.7</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0.88</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单位人员增加造成单位基本支出增加。</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1684.01</w:t>
      </w:r>
      <w:r>
        <w:rPr>
          <w:rFonts w:hint="eastAsia" w:ascii="仿宋_GB2312" w:hAnsi="仿宋_GB2312" w:eastAsia="仿宋_GB2312" w:cs="仿宋_GB2312"/>
          <w:sz w:val="32"/>
          <w:szCs w:val="32"/>
        </w:rPr>
        <w:t>万元，主要用于以下方面：文化旅游体育与传媒支出（类）支出</w:t>
      </w:r>
      <w:r>
        <w:rPr>
          <w:rFonts w:hint="eastAsia" w:ascii="仿宋_GB2312" w:hAnsi="仿宋_GB2312" w:eastAsia="仿宋_GB2312" w:cs="仿宋_GB2312"/>
          <w:sz w:val="32"/>
          <w:szCs w:val="32"/>
          <w:lang w:val="en-US" w:eastAsia="zh-CN"/>
        </w:rPr>
        <w:t>1503.53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89.28</w:t>
      </w:r>
      <w:r>
        <w:rPr>
          <w:rFonts w:hint="eastAsia" w:ascii="仿宋_GB2312" w:hAnsi="仿宋_GB2312" w:eastAsia="仿宋_GB2312" w:cs="仿宋_GB2312"/>
          <w:sz w:val="32"/>
          <w:szCs w:val="32"/>
        </w:rPr>
        <w:t>%；社会保障和就业支出（类）支出</w:t>
      </w:r>
      <w:r>
        <w:rPr>
          <w:rFonts w:hint="eastAsia" w:ascii="仿宋_GB2312" w:hAnsi="仿宋_GB2312" w:eastAsia="仿宋_GB2312" w:cs="仿宋_GB2312"/>
          <w:sz w:val="32"/>
          <w:szCs w:val="32"/>
          <w:lang w:val="en-US" w:eastAsia="zh-CN"/>
        </w:rPr>
        <w:t>91.3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5.42</w:t>
      </w:r>
      <w:r>
        <w:rPr>
          <w:rFonts w:hint="eastAsia" w:ascii="仿宋_GB2312" w:hAnsi="仿宋_GB2312" w:eastAsia="仿宋_GB2312" w:cs="仿宋_GB2312"/>
          <w:sz w:val="32"/>
          <w:szCs w:val="32"/>
        </w:rPr>
        <w:t>%;卫生健康支出（类）支出</w:t>
      </w:r>
      <w:r>
        <w:rPr>
          <w:rFonts w:hint="eastAsia" w:ascii="仿宋_GB2312" w:hAnsi="仿宋_GB2312" w:eastAsia="仿宋_GB2312" w:cs="仿宋_GB2312"/>
          <w:sz w:val="32"/>
          <w:szCs w:val="32"/>
          <w:lang w:val="en-US" w:eastAsia="zh-CN"/>
        </w:rPr>
        <w:t>39.41</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2.34</w:t>
      </w:r>
      <w:r>
        <w:rPr>
          <w:rFonts w:hint="eastAsia" w:ascii="仿宋_GB2312" w:hAnsi="仿宋_GB2312" w:eastAsia="仿宋_GB2312" w:cs="仿宋_GB2312"/>
          <w:sz w:val="32"/>
          <w:szCs w:val="32"/>
        </w:rPr>
        <w:t>%；住房保障支出（类）支出</w:t>
      </w:r>
      <w:r>
        <w:rPr>
          <w:rFonts w:hint="eastAsia" w:ascii="仿宋_GB2312" w:hAnsi="仿宋_GB2312" w:eastAsia="仿宋_GB2312" w:cs="仿宋_GB2312"/>
          <w:sz w:val="32"/>
          <w:szCs w:val="32"/>
          <w:lang w:val="en-US" w:eastAsia="zh-CN"/>
        </w:rPr>
        <w:t>49.77</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2.96</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lang w:val="en-US" w:eastAsia="zh-CN"/>
        </w:rPr>
        <w:t>945.95</w:t>
      </w:r>
      <w:r>
        <w:rPr>
          <w:rFonts w:hint="eastAsia" w:ascii="仿宋_GB2312" w:hAnsi="仿宋_GB2312" w:eastAsia="仿宋_GB2312" w:cs="仿宋_GB2312"/>
          <w:sz w:val="32"/>
          <w:szCs w:val="32"/>
        </w:rPr>
        <w:t>万元，支出决算数为</w:t>
      </w:r>
      <w:r>
        <w:rPr>
          <w:rFonts w:hint="eastAsia" w:ascii="仿宋_GB2312" w:hAnsi="仿宋_GB2312" w:eastAsia="仿宋_GB2312" w:cs="仿宋_GB2312"/>
          <w:sz w:val="32"/>
          <w:szCs w:val="32"/>
          <w:lang w:val="en-US" w:eastAsia="zh-CN"/>
        </w:rPr>
        <w:t>1684.01</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178.02</w:t>
      </w:r>
      <w:r>
        <w:rPr>
          <w:rFonts w:hint="eastAsia" w:ascii="仿宋_GB2312" w:hAnsi="仿宋_GB2312" w:eastAsia="仿宋_GB2312" w:cs="仿宋_GB2312"/>
          <w:sz w:val="32"/>
          <w:szCs w:val="32"/>
        </w:rPr>
        <w:t>%，其中：</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color w:val="auto"/>
          <w:sz w:val="32"/>
          <w:szCs w:val="32"/>
        </w:rPr>
        <w:t>文化旅游体育与传媒支出（类）文化和旅游（款）文化创作与保护（项）</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6.5</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无法计算占年初预算的</w:t>
      </w:r>
      <w:r>
        <w:rPr>
          <w:rFonts w:hint="eastAsia" w:ascii="仿宋_GB2312" w:hAnsi="仿宋_GB2312" w:eastAsia="仿宋_GB2312" w:cs="仿宋_GB2312"/>
          <w:color w:val="auto"/>
          <w:sz w:val="32"/>
          <w:szCs w:val="32"/>
          <w:lang w:val="en-US" w:eastAsia="zh-CN"/>
        </w:rPr>
        <w:t>比重</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eastAsia="zh-CN"/>
        </w:rPr>
        <w:t>年中增加国家级非遗传承人补助</w:t>
      </w:r>
      <w:r>
        <w:rPr>
          <w:rFonts w:hint="eastAsia" w:ascii="仿宋_GB2312" w:hAnsi="仿宋_GB2312" w:eastAsia="仿宋_GB2312" w:cs="仿宋_GB2312"/>
          <w:color w:val="auto"/>
          <w:sz w:val="32"/>
          <w:szCs w:val="32"/>
        </w:rPr>
        <w:t>项目经费</w:t>
      </w:r>
      <w:r>
        <w:rPr>
          <w:rFonts w:hint="eastAsia" w:ascii="仿宋_GB2312" w:hAnsi="仿宋_GB2312" w:eastAsia="仿宋_GB2312" w:cs="仿宋_GB2312"/>
          <w:color w:val="auto"/>
          <w:sz w:val="32"/>
          <w:szCs w:val="32"/>
          <w:lang w:eastAsia="zh-CN"/>
        </w:rPr>
        <w:t>，导致</w:t>
      </w:r>
      <w:r>
        <w:rPr>
          <w:rFonts w:hint="eastAsia" w:ascii="仿宋_GB2312" w:hAnsi="仿宋_GB2312" w:eastAsia="仿宋_GB2312" w:cs="仿宋_GB2312"/>
          <w:sz w:val="32"/>
          <w:szCs w:val="32"/>
        </w:rPr>
        <w:t>决算数大于年初预算数</w:t>
      </w:r>
      <w:r>
        <w:rPr>
          <w:rFonts w:hint="eastAsia" w:ascii="仿宋_GB2312" w:hAnsi="仿宋_GB2312" w:eastAsia="仿宋_GB2312" w:cs="仿宋_GB2312"/>
          <w:color w:val="auto"/>
          <w:sz w:val="32"/>
          <w:szCs w:val="32"/>
          <w:lang w:eastAsia="zh-CN"/>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color w:val="auto"/>
          <w:sz w:val="32"/>
          <w:szCs w:val="32"/>
        </w:rPr>
        <w:t>文化旅游体育与传媒支出（类）文化和旅游（款）其他文化和旅游支出（项）</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398.95</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无法计算占年初预算的</w:t>
      </w:r>
      <w:r>
        <w:rPr>
          <w:rFonts w:hint="eastAsia" w:ascii="仿宋_GB2312" w:hAnsi="仿宋_GB2312" w:eastAsia="仿宋_GB2312" w:cs="仿宋_GB2312"/>
          <w:color w:val="auto"/>
          <w:sz w:val="32"/>
          <w:szCs w:val="32"/>
          <w:lang w:val="en-US" w:eastAsia="zh-CN"/>
        </w:rPr>
        <w:t>比重</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eastAsia="zh-CN"/>
        </w:rPr>
        <w:t>年中增加第四次全国文物普查、文庙岳州关岳阳楼历史文化展水电工勤人员经费、主楼及附属文物值守人员经费等</w:t>
      </w:r>
      <w:r>
        <w:rPr>
          <w:rFonts w:hint="eastAsia" w:ascii="仿宋_GB2312" w:hAnsi="仿宋_GB2312" w:eastAsia="仿宋_GB2312" w:cs="仿宋_GB2312"/>
          <w:color w:val="auto"/>
          <w:sz w:val="32"/>
          <w:szCs w:val="32"/>
        </w:rPr>
        <w:t>项目经费</w:t>
      </w:r>
      <w:r>
        <w:rPr>
          <w:rFonts w:hint="eastAsia" w:ascii="仿宋_GB2312" w:hAnsi="仿宋_GB2312" w:eastAsia="仿宋_GB2312" w:cs="仿宋_GB2312"/>
          <w:color w:val="auto"/>
          <w:sz w:val="32"/>
          <w:szCs w:val="32"/>
          <w:lang w:eastAsia="zh-CN"/>
        </w:rPr>
        <w:t>，导致</w:t>
      </w:r>
      <w:r>
        <w:rPr>
          <w:rFonts w:hint="eastAsia" w:ascii="仿宋_GB2312" w:hAnsi="仿宋_GB2312" w:eastAsia="仿宋_GB2312" w:cs="仿宋_GB2312"/>
          <w:sz w:val="32"/>
          <w:szCs w:val="32"/>
        </w:rPr>
        <w:t>决算数大于年初预算数</w:t>
      </w:r>
      <w:r>
        <w:rPr>
          <w:rFonts w:hint="eastAsia" w:ascii="Times New Roman" w:hAnsi="Times New Roman" w:eastAsia="仿宋_GB2312"/>
          <w:color w:val="auto"/>
          <w:sz w:val="32"/>
          <w:szCs w:val="32"/>
          <w:lang w:val="en-US" w:eastAsia="zh-CN"/>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sz w:val="32"/>
          <w:szCs w:val="32"/>
        </w:rPr>
        <w:t>文化旅游体育与传媒支出（类）文物（款）文物保护（项）</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765.03</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1074.13</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140.4</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color w:val="auto"/>
          <w:sz w:val="32"/>
          <w:szCs w:val="32"/>
        </w:rPr>
        <w:t>项目经费较上年增长</w:t>
      </w:r>
      <w:r>
        <w:rPr>
          <w:rFonts w:hint="eastAsia" w:ascii="仿宋_GB2312" w:hAnsi="仿宋_GB2312" w:eastAsia="仿宋_GB2312" w:cs="仿宋_GB2312"/>
          <w:color w:val="auto"/>
          <w:sz w:val="32"/>
          <w:szCs w:val="32"/>
          <w:lang w:eastAsia="zh-CN"/>
        </w:rPr>
        <w:t>，人员增加基本支出增加，导致</w:t>
      </w:r>
      <w:r>
        <w:rPr>
          <w:rFonts w:hint="eastAsia" w:ascii="仿宋_GB2312" w:hAnsi="仿宋_GB2312" w:eastAsia="仿宋_GB2312" w:cs="仿宋_GB2312"/>
          <w:sz w:val="32"/>
          <w:szCs w:val="32"/>
        </w:rPr>
        <w:t>决算数大于年初预算数</w:t>
      </w:r>
      <w:r>
        <w:rPr>
          <w:rFonts w:hint="eastAsia" w:ascii="Times New Roman" w:hAnsi="Times New Roman" w:eastAsia="仿宋_GB2312"/>
          <w:color w:val="auto"/>
          <w:sz w:val="32"/>
          <w:szCs w:val="32"/>
          <w:lang w:val="en-US" w:eastAsia="zh-CN"/>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sz w:val="32"/>
          <w:szCs w:val="32"/>
        </w:rPr>
        <w:t>文化旅游体育与传媒支出（类）文物（款）博物馆（项）</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1.63</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无法计算占年初预算的</w:t>
      </w:r>
      <w:r>
        <w:rPr>
          <w:rFonts w:hint="eastAsia" w:ascii="仿宋_GB2312" w:hAnsi="仿宋_GB2312" w:eastAsia="仿宋_GB2312" w:cs="仿宋_GB2312"/>
          <w:color w:val="auto"/>
          <w:sz w:val="32"/>
          <w:szCs w:val="32"/>
          <w:lang w:val="en-US" w:eastAsia="zh-CN"/>
        </w:rPr>
        <w:t>比重</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eastAsia="zh-CN"/>
        </w:rPr>
        <w:t>年中增加</w:t>
      </w:r>
      <w:r>
        <w:rPr>
          <w:rFonts w:hint="eastAsia" w:ascii="仿宋_GB2312" w:hAnsi="仿宋_GB2312" w:eastAsia="仿宋_GB2312" w:cs="仿宋_GB2312"/>
          <w:sz w:val="32"/>
          <w:szCs w:val="32"/>
          <w:lang w:val="en-US" w:eastAsia="zh-CN"/>
        </w:rPr>
        <w:t>博物馆转人员经费结余</w:t>
      </w:r>
      <w:r>
        <w:rPr>
          <w:rFonts w:hint="eastAsia" w:ascii="仿宋_GB2312" w:hAnsi="仿宋_GB2312" w:eastAsia="仿宋_GB2312" w:cs="仿宋_GB2312"/>
          <w:color w:val="auto"/>
          <w:sz w:val="32"/>
          <w:szCs w:val="32"/>
        </w:rPr>
        <w:t>经费</w:t>
      </w:r>
      <w:r>
        <w:rPr>
          <w:rFonts w:hint="eastAsia" w:ascii="仿宋_GB2312" w:hAnsi="仿宋_GB2312" w:eastAsia="仿宋_GB2312" w:cs="仿宋_GB2312"/>
          <w:color w:val="auto"/>
          <w:sz w:val="32"/>
          <w:szCs w:val="32"/>
          <w:lang w:eastAsia="zh-CN"/>
        </w:rPr>
        <w:t>，导致</w:t>
      </w:r>
      <w:r>
        <w:rPr>
          <w:rFonts w:hint="eastAsia" w:ascii="仿宋_GB2312" w:hAnsi="仿宋_GB2312" w:eastAsia="仿宋_GB2312" w:cs="仿宋_GB2312"/>
          <w:sz w:val="32"/>
          <w:szCs w:val="32"/>
        </w:rPr>
        <w:t>决算数大于年初预算数</w:t>
      </w:r>
      <w:r>
        <w:rPr>
          <w:rFonts w:hint="eastAsia" w:ascii="Times New Roman" w:hAnsi="Times New Roman" w:eastAsia="仿宋_GB2312"/>
          <w:color w:val="auto"/>
          <w:sz w:val="32"/>
          <w:szCs w:val="32"/>
          <w:lang w:val="en-US" w:eastAsia="zh-CN"/>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sz w:val="32"/>
          <w:szCs w:val="32"/>
        </w:rPr>
        <w:t>文化旅游体育与传媒支出（类）文物（款）其他文物支出（项）</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14.32</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无法计算占年初预算的</w:t>
      </w:r>
      <w:r>
        <w:rPr>
          <w:rFonts w:hint="eastAsia" w:ascii="仿宋_GB2312" w:hAnsi="仿宋_GB2312" w:eastAsia="仿宋_GB2312" w:cs="仿宋_GB2312"/>
          <w:color w:val="auto"/>
          <w:sz w:val="32"/>
          <w:szCs w:val="32"/>
          <w:lang w:val="en-US" w:eastAsia="zh-CN"/>
        </w:rPr>
        <w:t>比重</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eastAsia="zh-CN"/>
        </w:rPr>
        <w:t>年中增加</w:t>
      </w:r>
      <w:r>
        <w:rPr>
          <w:rFonts w:hint="eastAsia" w:ascii="仿宋_GB2312" w:hAnsi="仿宋_GB2312" w:eastAsia="仿宋_GB2312" w:cs="仿宋_GB2312"/>
          <w:sz w:val="32"/>
          <w:szCs w:val="32"/>
          <w:lang w:val="en-US" w:eastAsia="zh-CN"/>
        </w:rPr>
        <w:t>鲁肃墓环境整治经费结余、文庙陈列展示经费结余</w:t>
      </w:r>
      <w:r>
        <w:rPr>
          <w:rFonts w:hint="eastAsia" w:ascii="仿宋_GB2312" w:hAnsi="仿宋_GB2312" w:eastAsia="仿宋_GB2312" w:cs="仿宋_GB2312"/>
          <w:color w:val="auto"/>
          <w:sz w:val="32"/>
          <w:szCs w:val="32"/>
        </w:rPr>
        <w:t>经费</w:t>
      </w:r>
      <w:r>
        <w:rPr>
          <w:rFonts w:hint="eastAsia" w:ascii="仿宋_GB2312" w:hAnsi="仿宋_GB2312" w:eastAsia="仿宋_GB2312" w:cs="仿宋_GB2312"/>
          <w:color w:val="auto"/>
          <w:sz w:val="32"/>
          <w:szCs w:val="32"/>
          <w:lang w:eastAsia="zh-CN"/>
        </w:rPr>
        <w:t>，导致</w:t>
      </w:r>
      <w:r>
        <w:rPr>
          <w:rFonts w:hint="eastAsia" w:ascii="仿宋_GB2312" w:hAnsi="仿宋_GB2312" w:eastAsia="仿宋_GB2312" w:cs="仿宋_GB2312"/>
          <w:sz w:val="32"/>
          <w:szCs w:val="32"/>
        </w:rPr>
        <w:t>决算数大于年初预算数</w:t>
      </w:r>
      <w:r>
        <w:rPr>
          <w:rFonts w:hint="eastAsia" w:ascii="Times New Roman" w:hAnsi="Times New Roman" w:eastAsia="仿宋_GB2312"/>
          <w:color w:val="auto"/>
          <w:sz w:val="32"/>
          <w:szCs w:val="32"/>
          <w:lang w:val="en-US" w:eastAsia="zh-CN"/>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sz w:val="32"/>
          <w:szCs w:val="32"/>
        </w:rPr>
        <w:t>文化旅游体育与传媒支出（类）其他文化旅游体育与传媒支出（款）其他文化旅游体育与传媒支出（项）</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无法计算占年初预算的</w:t>
      </w:r>
      <w:r>
        <w:rPr>
          <w:rFonts w:hint="eastAsia" w:ascii="仿宋_GB2312" w:hAnsi="仿宋_GB2312" w:eastAsia="仿宋_GB2312" w:cs="仿宋_GB2312"/>
          <w:color w:val="auto"/>
          <w:sz w:val="32"/>
          <w:szCs w:val="32"/>
          <w:lang w:val="en-US" w:eastAsia="zh-CN"/>
        </w:rPr>
        <w:t>比重</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eastAsia="zh-CN"/>
        </w:rPr>
        <w:t>年中增加岳阳楼日专项经费，</w:t>
      </w:r>
      <w:r>
        <w:rPr>
          <w:rFonts w:hint="eastAsia" w:ascii="仿宋_GB2312" w:hAnsi="仿宋_GB2312" w:eastAsia="仿宋_GB2312" w:cs="仿宋_GB2312"/>
          <w:color w:val="auto"/>
          <w:sz w:val="32"/>
          <w:szCs w:val="32"/>
          <w:lang w:eastAsia="zh-CN"/>
        </w:rPr>
        <w:t>导致</w:t>
      </w:r>
      <w:r>
        <w:rPr>
          <w:rFonts w:hint="eastAsia" w:ascii="仿宋_GB2312" w:hAnsi="仿宋_GB2312" w:eastAsia="仿宋_GB2312" w:cs="仿宋_GB2312"/>
          <w:sz w:val="32"/>
          <w:szCs w:val="32"/>
        </w:rPr>
        <w:t>决算数大于年初预算数</w:t>
      </w:r>
      <w:r>
        <w:rPr>
          <w:rFonts w:hint="eastAsia" w:ascii="Times New Roman" w:hAnsi="Times New Roman" w:eastAsia="仿宋_GB2312"/>
          <w:color w:val="auto"/>
          <w:sz w:val="32"/>
          <w:szCs w:val="32"/>
          <w:lang w:val="en-US" w:eastAsia="zh-CN"/>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7</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sz w:val="32"/>
          <w:szCs w:val="32"/>
        </w:rPr>
        <w:t>社会保障和就业支出（类）行政事业单位养老支出（款）事业单位离退休（项）</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16.58</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15.66</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94.45</w:t>
      </w:r>
      <w:r>
        <w:rPr>
          <w:rFonts w:hint="eastAsia" w:ascii="仿宋_GB2312" w:hAnsi="仿宋_GB2312" w:eastAsia="仿宋_GB2312" w:cs="仿宋_GB2312"/>
          <w:sz w:val="32"/>
          <w:szCs w:val="32"/>
        </w:rPr>
        <w:t>%，决算数小于年初预算数的主要原因是：</w:t>
      </w:r>
      <w:r>
        <w:rPr>
          <w:rFonts w:hint="eastAsia" w:ascii="Times New Roman" w:hAnsi="Times New Roman" w:eastAsia="仿宋_GB2312"/>
          <w:sz w:val="32"/>
          <w:szCs w:val="32"/>
          <w:lang w:val="en-US" w:eastAsia="zh-CN"/>
        </w:rPr>
        <w:t>单位正常运行的支出，预算数与决算数相近。</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8</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sz w:val="32"/>
          <w:szCs w:val="32"/>
        </w:rPr>
        <w:t>社会保障和就业支出（类）行政事业单位养老支出（款）机关事业单位基本养老保险缴费支出（项）</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68.93</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68.93</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%，决算数大于年初预算数的主要原因是：</w:t>
      </w:r>
      <w:r>
        <w:rPr>
          <w:rFonts w:hint="eastAsia" w:ascii="Times New Roman" w:hAnsi="Times New Roman" w:eastAsia="仿宋_GB2312"/>
          <w:sz w:val="32"/>
          <w:szCs w:val="32"/>
          <w:lang w:val="en-US" w:eastAsia="zh-CN"/>
        </w:rPr>
        <w:t>单位正常运行的支出，预算数与决算数相近。</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sz w:val="32"/>
          <w:szCs w:val="32"/>
        </w:rPr>
        <w:t>社会保障和就业支出（类）残疾人事业（款）其他残疾人事业支出（项）</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5.27</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131.75</w:t>
      </w:r>
      <w:r>
        <w:rPr>
          <w:rFonts w:hint="eastAsia" w:ascii="仿宋_GB2312" w:hAnsi="仿宋_GB2312" w:eastAsia="仿宋_GB2312" w:cs="仿宋_GB2312"/>
          <w:sz w:val="32"/>
          <w:szCs w:val="32"/>
        </w:rPr>
        <w:t>%，决算数大于年初预算数的主要原因是：</w:t>
      </w:r>
      <w:r>
        <w:rPr>
          <w:rFonts w:hint="eastAsia" w:ascii="Times New Roman" w:hAnsi="Times New Roman" w:eastAsia="仿宋_GB2312"/>
          <w:sz w:val="32"/>
          <w:szCs w:val="32"/>
          <w:lang w:val="en-US" w:eastAsia="zh-CN"/>
        </w:rPr>
        <w:t>单位正常运行的支出，预算数与决算数相近。</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10</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sz w:val="32"/>
          <w:szCs w:val="32"/>
        </w:rPr>
        <w:t>社会保障和就业支出（类）其他社会保障和就业支出（款）其他社会保障和就业支出（项）</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1.22</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1.44</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118.03</w:t>
      </w:r>
      <w:r>
        <w:rPr>
          <w:rFonts w:hint="eastAsia" w:ascii="仿宋_GB2312" w:hAnsi="仿宋_GB2312" w:eastAsia="仿宋_GB2312" w:cs="仿宋_GB2312"/>
          <w:sz w:val="32"/>
          <w:szCs w:val="32"/>
        </w:rPr>
        <w:t>%，决算数大于年初预算数的主要原因是：</w:t>
      </w:r>
      <w:r>
        <w:rPr>
          <w:rFonts w:hint="eastAsia" w:ascii="Times New Roman" w:hAnsi="Times New Roman" w:eastAsia="仿宋_GB2312"/>
          <w:sz w:val="32"/>
          <w:szCs w:val="32"/>
          <w:lang w:val="en-US" w:eastAsia="zh-CN"/>
        </w:rPr>
        <w:t>单位正常运行的支出，预算数与决算数相近。</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11</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sz w:val="32"/>
          <w:szCs w:val="32"/>
        </w:rPr>
        <w:t>卫生健康支出（类）行政事业单位医疗（款）事业单位医疗（项）</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40.43</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39.41</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97.48</w:t>
      </w:r>
      <w:r>
        <w:rPr>
          <w:rFonts w:hint="eastAsia" w:ascii="仿宋_GB2312" w:hAnsi="仿宋_GB2312" w:eastAsia="仿宋_GB2312" w:cs="仿宋_GB2312"/>
          <w:sz w:val="32"/>
          <w:szCs w:val="32"/>
        </w:rPr>
        <w:t>%，决算数小于年初预算数的主要原因是：</w:t>
      </w:r>
      <w:r>
        <w:rPr>
          <w:rFonts w:hint="eastAsia" w:ascii="Times New Roman" w:hAnsi="Times New Roman" w:eastAsia="仿宋_GB2312"/>
          <w:sz w:val="32"/>
          <w:szCs w:val="32"/>
          <w:lang w:val="en-US" w:eastAsia="zh-CN"/>
        </w:rPr>
        <w:t>单位正常运行的支出，预算数与决算数相近。</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12</w:t>
      </w:r>
      <w:r>
        <w:rPr>
          <w:rFonts w:hint="eastAsia" w:ascii="仿宋_GB2312" w:hAnsi="仿宋_GB2312" w:eastAsia="仿宋_GB2312" w:cs="仿宋_GB2312"/>
          <w:sz w:val="32"/>
          <w:szCs w:val="32"/>
        </w:rPr>
        <w:t>、</w:t>
      </w:r>
      <w:r>
        <w:rPr>
          <w:rFonts w:hint="eastAsia" w:ascii="仿宋_GB2312" w:hAnsi="仿宋_GB2312" w:eastAsia="仿宋_GB2312" w:cs="仿宋_GB2312"/>
          <w:color w:val="auto"/>
          <w:sz w:val="32"/>
          <w:szCs w:val="32"/>
        </w:rPr>
        <w:t>住房保障支出（类）住房改革支出（款）住房公积金（项）</w:t>
      </w:r>
      <w:r>
        <w:rPr>
          <w:rFonts w:hint="eastAsia" w:ascii="仿宋_GB2312" w:hAnsi="仿宋_GB2312" w:eastAsia="仿宋_GB2312" w:cs="仿宋_GB2312"/>
          <w:sz w:val="32"/>
          <w:szCs w:val="32"/>
        </w:rPr>
        <w:t>。</w:t>
      </w:r>
    </w:p>
    <w:p>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49.76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49.77</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%，决算数大于年初预算数的主要原因是：</w:t>
      </w:r>
      <w:r>
        <w:rPr>
          <w:rFonts w:hint="eastAsia" w:ascii="Times New Roman" w:hAnsi="Times New Roman" w:eastAsia="仿宋_GB2312"/>
          <w:sz w:val="32"/>
          <w:szCs w:val="32"/>
          <w:lang w:val="en-US" w:eastAsia="zh-CN"/>
        </w:rPr>
        <w:t>单位正常运行的支出，预算数与决算数相近。</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财政拨款基本支出</w:t>
      </w:r>
      <w:r>
        <w:rPr>
          <w:rFonts w:hint="eastAsia" w:ascii="仿宋_GB2312" w:hAnsi="仿宋_GB2312" w:eastAsia="仿宋_GB2312" w:cs="仿宋_GB2312"/>
          <w:sz w:val="32"/>
          <w:szCs w:val="32"/>
          <w:lang w:val="en-US" w:eastAsia="zh-CN"/>
        </w:rPr>
        <w:t>786.99</w:t>
      </w:r>
      <w:r>
        <w:rPr>
          <w:rFonts w:hint="eastAsia" w:ascii="仿宋_GB2312" w:hAnsi="仿宋_GB2312" w:eastAsia="仿宋_GB2312" w:cs="仿宋_GB2312"/>
          <w:sz w:val="32"/>
          <w:szCs w:val="32"/>
        </w:rPr>
        <w:t>万元，其中：</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lang w:val="en-US" w:eastAsia="zh-CN"/>
        </w:rPr>
        <w:t>731.52</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92.95</w:t>
      </w:r>
      <w:r>
        <w:rPr>
          <w:rFonts w:hint="eastAsia" w:ascii="仿宋_GB2312" w:hAnsi="仿宋_GB2312" w:eastAsia="仿宋_GB2312" w:cs="仿宋_GB2312"/>
          <w:sz w:val="32"/>
          <w:szCs w:val="32"/>
        </w:rPr>
        <w:t>%,主要包括基本工资、津贴补贴、奖金、伙食补助费、绩效工资、机关事业单位基本养老保险缴费、职业年金缴费、职工基本医疗保险缴费、公务员医疗补助缴费、其他社会保障缴费、住房公积金、医疗费、退休费、医疗费补助、奖励金、其他对个人和家庭的补助</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lang w:val="en-US" w:eastAsia="zh-CN"/>
        </w:rPr>
        <w:t>55.47</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7.05</w:t>
      </w:r>
      <w:r>
        <w:rPr>
          <w:rFonts w:hint="eastAsia" w:ascii="仿宋_GB2312" w:hAnsi="仿宋_GB2312" w:eastAsia="仿宋_GB2312" w:cs="仿宋_GB2312"/>
          <w:sz w:val="32"/>
          <w:szCs w:val="32"/>
        </w:rPr>
        <w:t>%，主要包括办公费、印刷费、水费、电费、差旅费、维修（护）费、会议费、公务接待费、专用材料费、工会经费、福利费、其他交通费用、其他商品和服务支出、办公设备购置。</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黑体" w:hAnsi="黑体" w:eastAsia="黑体" w:cs="黑体"/>
          <w:b w:val="0"/>
          <w:bCs/>
          <w:color w:val="000000"/>
          <w:kern w:val="0"/>
          <w:sz w:val="32"/>
          <w:szCs w:val="32"/>
          <w:highlight w:val="none"/>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textAlignment w:val="auto"/>
        <w:rPr>
          <w:rFonts w:hint="eastAsia" w:ascii="黑体" w:hAnsi="黑体" w:eastAsia="黑体" w:cs="黑体"/>
          <w:b w:val="0"/>
          <w:bCs/>
          <w:sz w:val="32"/>
          <w:szCs w:val="32"/>
        </w:rPr>
      </w:pPr>
      <w:r>
        <w:rPr>
          <w:rFonts w:hint="eastAsia" w:ascii="仿宋_GB2312" w:hAnsi="仿宋_GB2312" w:eastAsia="仿宋_GB2312" w:cs="仿宋_GB2312"/>
          <w:color w:val="000000"/>
          <w:kern w:val="0"/>
          <w:sz w:val="32"/>
          <w:szCs w:val="32"/>
          <w:highlight w:val="none"/>
          <w:lang w:val="en-US" w:eastAsia="zh-CN" w:bidi="ar-SA"/>
        </w:rPr>
        <w:t>2024年度国有资本经营预算财政拨款收入0万元；年初结转和结余0万；支出0万元，</w:t>
      </w:r>
      <w:r>
        <w:rPr>
          <w:rFonts w:hint="eastAsia" w:ascii="仿宋_GB2312" w:hAnsi="仿宋_GB2312" w:eastAsia="仿宋_GB2312" w:cs="仿宋_GB2312"/>
          <w:i w:val="0"/>
          <w:iCs/>
          <w:color w:val="000000" w:themeColor="text1"/>
          <w:kern w:val="0"/>
          <w:sz w:val="32"/>
          <w:szCs w:val="32"/>
          <w:highlight w:val="none"/>
          <w:lang w:val="en-US" w:eastAsia="zh-CN" w:bidi="ar-SA"/>
          <w14:textFill>
            <w14:solidFill>
              <w14:schemeClr w14:val="tx1"/>
            </w14:solidFill>
          </w14:textFill>
        </w:rPr>
        <w:t>其中：基本支出0万元，项目支出0万元</w:t>
      </w:r>
      <w:r>
        <w:rPr>
          <w:rFonts w:hint="eastAsia" w:ascii="仿宋_GB2312" w:hAnsi="仿宋_GB2312" w:eastAsia="仿宋_GB2312" w:cs="仿宋_GB2312"/>
          <w:color w:val="000000"/>
          <w:kern w:val="0"/>
          <w:sz w:val="32"/>
          <w:szCs w:val="32"/>
          <w:highlight w:val="none"/>
          <w:lang w:val="en-US" w:eastAsia="zh-CN" w:bidi="ar-SA"/>
        </w:rPr>
        <w:t>；年末结转和结余0万元。</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pPr>
        <w:pStyle w:val="12"/>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经费财政拨款支出决算总体情况说明</w:t>
      </w:r>
    </w:p>
    <w:p>
      <w:pPr>
        <w:pStyle w:val="12"/>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0.64</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64</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0.32</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50</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cs="Times New Roman"/>
          <w:color w:val="auto"/>
          <w:sz w:val="32"/>
          <w:szCs w:val="32"/>
          <w:lang w:val="en-US" w:eastAsia="zh-CN"/>
        </w:rPr>
        <w:t>按有关政策厉行节约，严控“三公经费”支出</w:t>
      </w:r>
      <w:r>
        <w:rPr>
          <w:rFonts w:ascii="Times New Roman" w:hAnsi="Times New Roman" w:eastAsia="仿宋_GB2312" w:cs="Times New Roman"/>
          <w:sz w:val="32"/>
          <w:szCs w:val="32"/>
        </w:rPr>
        <w:t>。决算数大于上年数的主要原因是</w:t>
      </w:r>
      <w:r>
        <w:rPr>
          <w:rFonts w:hint="eastAsia" w:ascii="仿宋_GB2312" w:hAnsi="仿宋_GB2312" w:eastAsia="仿宋_GB2312" w:cs="仿宋_GB2312"/>
          <w:sz w:val="32"/>
          <w:szCs w:val="32"/>
          <w:lang w:eastAsia="zh-CN"/>
        </w:rPr>
        <w:t>与上年金额相近，为单位正常支出</w:t>
      </w:r>
      <w:r>
        <w:rPr>
          <w:rFonts w:ascii="Times New Roman" w:hAnsi="Times New Roman" w:eastAsia="仿宋_GB2312" w:cs="Times New Roman"/>
          <w:sz w:val="32"/>
          <w:szCs w:val="32"/>
        </w:rPr>
        <w:t>。</w:t>
      </w:r>
    </w:p>
    <w:p>
      <w:pPr>
        <w:pStyle w:val="12"/>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经费财政拨款支出决算具体情况说明</w:t>
      </w:r>
    </w:p>
    <w:p>
      <w:pPr>
        <w:pStyle w:val="12"/>
        <w:overflowPunct w:val="0"/>
        <w:autoSpaceDE/>
        <w:autoSpaceDN/>
        <w:spacing w:line="600" w:lineRule="exact"/>
        <w:ind w:firstLine="640" w:firstLineChars="200"/>
        <w:jc w:val="both"/>
        <w:rPr>
          <w:rFonts w:ascii="Times New Roman" w:hAnsi="Times New Roman" w:eastAsia="楷体" w:cs="Times New Roman"/>
          <w:b/>
          <w:bCs/>
          <w:i/>
          <w:color w:val="auto"/>
          <w:sz w:val="32"/>
          <w:szCs w:val="32"/>
        </w:rPr>
      </w:pPr>
      <w:r>
        <w:rPr>
          <w:rFonts w:ascii="Times New Roman" w:hAnsi="Times New Roman" w:eastAsia="仿宋_GB2312" w:cs="Times New Roman"/>
          <w:sz w:val="32"/>
          <w:szCs w:val="32"/>
        </w:rPr>
        <w:t>1.</w:t>
      </w:r>
      <w:r>
        <w:rPr>
          <w:rFonts w:hint="eastAsia" w:ascii="Times New Roman" w:hAnsi="Times New Roman" w:eastAsia="仿宋_GB2312" w:cs="Times New Roman"/>
          <w:sz w:val="32"/>
          <w:szCs w:val="32"/>
        </w:rPr>
        <w:t>因公出国（境）费支出预算为0万元，支出决算为0万元，决算数等于预算数，主要原因是我单位严格按预算执行决算；与上年一致，无增减变动，主要原因是未安排因公出国（境）活动。2024年度安排因公出国（境）团组0个，累计0人次。</w:t>
      </w:r>
    </w:p>
    <w:p>
      <w:pPr>
        <w:pStyle w:val="12"/>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ascii="Times New Roman" w:hAnsi="Times New Roman" w:eastAsia="仿宋_GB2312" w:cs="Times New Roman"/>
          <w:sz w:val="32"/>
          <w:szCs w:val="32"/>
        </w:rPr>
        <w:t>2.</w:t>
      </w:r>
      <w:r>
        <w:rPr>
          <w:rFonts w:hint="eastAsia" w:ascii="Times New Roman" w:hAnsi="Times New Roman" w:eastAsia="仿宋_GB2312" w:cs="Times New Roman"/>
          <w:sz w:val="32"/>
          <w:szCs w:val="32"/>
        </w:rPr>
        <w:t>公务用车购置费及运行维护费支出预算为0万元，支出决算为0万元，决算数等于预算数；与上年一致，无增减变动。其中：</w:t>
      </w:r>
    </w:p>
    <w:p>
      <w:pPr>
        <w:pStyle w:val="12"/>
        <w:overflowPunct w:val="0"/>
        <w:autoSpaceDE/>
        <w:autoSpaceDN/>
        <w:spacing w:line="600" w:lineRule="exact"/>
        <w:ind w:firstLine="640" w:firstLineChars="200"/>
        <w:jc w:val="both"/>
        <w:rPr>
          <w:rFonts w:hint="eastAsia" w:ascii="Times New Roman" w:hAnsi="Times New Roman" w:eastAsia="仿宋_GB2312" w:cs="Times New Roman"/>
          <w:sz w:val="32"/>
          <w:szCs w:val="32"/>
        </w:rPr>
      </w:pPr>
      <w:r>
        <w:rPr>
          <w:rFonts w:hint="eastAsia" w:ascii="Times New Roman" w:hAnsi="Times New Roman" w:eastAsia="仿宋_GB2312" w:cs="Times New Roman"/>
          <w:sz w:val="32"/>
          <w:szCs w:val="32"/>
        </w:rPr>
        <w:t>公务用车购置费支出预算为0万元，支出决算为0万元，决算数等于预算数，主要原因是我单位严格按预算执行决算；与上年一致，无增减变动，主要原因是两年均未购置公务用车。本单位更新公务用车0辆。</w:t>
      </w:r>
    </w:p>
    <w:p>
      <w:pPr>
        <w:pStyle w:val="12"/>
        <w:overflowPunct w:val="0"/>
        <w:autoSpaceDE/>
        <w:autoSpaceDN/>
        <w:spacing w:line="600" w:lineRule="exact"/>
        <w:ind w:firstLine="640" w:firstLineChars="200"/>
        <w:jc w:val="both"/>
        <w:rPr>
          <w:rFonts w:ascii="Times New Roman" w:hAnsi="Times New Roman" w:eastAsia="楷体" w:cs="Times New Roman"/>
          <w:b/>
          <w:bCs/>
          <w:i/>
          <w:color w:val="FF0000"/>
          <w:sz w:val="32"/>
          <w:szCs w:val="32"/>
        </w:rPr>
      </w:pPr>
      <w:r>
        <w:rPr>
          <w:rFonts w:hint="eastAsia" w:ascii="Times New Roman" w:hAnsi="Times New Roman" w:eastAsia="仿宋_GB2312" w:cs="Times New Roman"/>
          <w:sz w:val="32"/>
          <w:szCs w:val="32"/>
        </w:rPr>
        <w:t>公务用车运行维护费支出预算为0万元，支出决算为0万元，决算数等于预算数，主要原因是我单位严格按预算执行决算；与上年一致，无增减变动，主要原因是两年均无公务用车需要运行维护。 截止到2024年12月31日，我单位开支财政拨款的公务用车保有量为0辆。</w:t>
      </w:r>
    </w:p>
    <w:p>
      <w:pPr>
        <w:numPr>
          <w:ilvl w:val="0"/>
          <w:numId w:val="2"/>
        </w:numPr>
        <w:ind w:firstLine="640" w:firstLineChars="200"/>
        <w:rPr>
          <w:rFonts w:hint="eastAsia" w:ascii="Times New Roman" w:hAnsi="Times New Roman" w:eastAsia="仿宋_GB2312"/>
          <w:b/>
          <w:color w:val="auto"/>
          <w:sz w:val="32"/>
          <w:szCs w:val="32"/>
          <w:lang w:eastAsia="zh-CN"/>
        </w:rPr>
      </w:pPr>
      <w:r>
        <w:rPr>
          <w:rFonts w:ascii="Times New Roman" w:hAnsi="Times New Roman" w:eastAsia="仿宋_GB2312" w:cs="Times New Roman"/>
          <w:sz w:val="32"/>
          <w:szCs w:val="32"/>
        </w:rPr>
        <w:t>公务接待费支出预算为</w:t>
      </w: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0.64</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64</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0.32</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50</w:t>
      </w:r>
      <w:r>
        <w:rPr>
          <w:rFonts w:ascii="Times New Roman" w:hAnsi="Times New Roman" w:eastAsia="仿宋_GB2312" w:cs="Times New Roman"/>
          <w:sz w:val="32"/>
          <w:szCs w:val="32"/>
        </w:rPr>
        <w:t>%。决算数小于预算数的主要原因是</w:t>
      </w:r>
      <w:r>
        <w:rPr>
          <w:rFonts w:hint="eastAsia" w:ascii="Times New Roman" w:hAnsi="Times New Roman" w:eastAsia="仿宋_GB2312" w:cs="Times New Roman"/>
          <w:color w:val="auto"/>
          <w:sz w:val="32"/>
          <w:szCs w:val="32"/>
          <w:lang w:val="en-US" w:eastAsia="zh-CN"/>
        </w:rPr>
        <w:t>按有关政策厉行节约，严控“三公经费”支出</w:t>
      </w:r>
      <w:r>
        <w:rPr>
          <w:rFonts w:ascii="Times New Roman" w:hAnsi="Times New Roman" w:eastAsia="仿宋_GB2312" w:cs="Times New Roman"/>
          <w:sz w:val="32"/>
          <w:szCs w:val="32"/>
        </w:rPr>
        <w:t>。决算数大于上年数的主要原因是</w:t>
      </w:r>
      <w:r>
        <w:rPr>
          <w:rFonts w:hint="eastAsia" w:ascii="仿宋_GB2312" w:hAnsi="仿宋_GB2312" w:eastAsia="仿宋_GB2312" w:cs="仿宋_GB2312"/>
          <w:sz w:val="32"/>
          <w:szCs w:val="32"/>
          <w:lang w:eastAsia="zh-CN"/>
        </w:rPr>
        <w:t>与上年金额相近，为单位正常支出</w:t>
      </w:r>
      <w:r>
        <w:rPr>
          <w:rFonts w:ascii="Times New Roman" w:hAnsi="Times New Roman" w:eastAsia="仿宋_GB2312" w:cs="Times New Roman"/>
          <w:sz w:val="32"/>
          <w:szCs w:val="32"/>
        </w:rPr>
        <w:t>。2024年度共接待来访团组</w:t>
      </w:r>
      <w:r>
        <w:rPr>
          <w:rFonts w:hint="eastAsia" w:ascii="Times New Roman" w:hAnsi="Times New Roman" w:eastAsia="仿宋_GB2312" w:cs="Times New Roman"/>
          <w:sz w:val="32"/>
          <w:szCs w:val="32"/>
          <w:lang w:val="en-US" w:eastAsia="zh-CN"/>
        </w:rPr>
        <w:t>5</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lang w:val="en-US" w:eastAsia="zh-CN"/>
        </w:rPr>
        <w:t>29</w:t>
      </w:r>
      <w:r>
        <w:rPr>
          <w:rFonts w:ascii="Times New Roman" w:hAnsi="Times New Roman" w:eastAsia="仿宋_GB2312" w:cs="Times New Roman"/>
          <w:sz w:val="32"/>
          <w:szCs w:val="32"/>
        </w:rPr>
        <w:t>人次，主要是</w:t>
      </w:r>
      <w:r>
        <w:rPr>
          <w:rFonts w:hint="eastAsia" w:ascii="Times New Roman" w:hAnsi="Times New Roman" w:eastAsia="仿宋_GB2312" w:cs="Times New Roman"/>
          <w:sz w:val="32"/>
          <w:szCs w:val="32"/>
          <w:lang w:eastAsia="zh-CN"/>
        </w:rPr>
        <w:t>泰州市文化旅游发展集团考察、聊城市文物事业服务中心学习交流、蓬莱阁景区管理服务中心考察、南昌市滕王阁景区管理有限公司学习交流、湖南麓曦数字科技有限公司数智岳阳楼项目沟通和研讨</w:t>
      </w:r>
      <w:r>
        <w:rPr>
          <w:rFonts w:ascii="Times New Roman" w:hAnsi="Times New Roman" w:eastAsia="仿宋_GB2312" w:cs="Times New Roman"/>
          <w:sz w:val="32"/>
          <w:szCs w:val="32"/>
        </w:rPr>
        <w:t>发生的接待支出。</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pPr>
        <w:pStyle w:val="12"/>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年度机关运行经费支出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highlight w:val="none"/>
        </w:rPr>
        <w:t>比年初预算数减少</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万元，降低</w:t>
      </w:r>
      <w:r>
        <w:rPr>
          <w:rFonts w:hint="eastAsia" w:ascii="仿宋_GB2312" w:hAnsi="仿宋_GB2312" w:eastAsia="仿宋_GB2312" w:cs="仿宋_GB2312"/>
          <w:sz w:val="32"/>
          <w:szCs w:val="32"/>
          <w:highlight w:val="none"/>
          <w:lang w:val="en-US" w:eastAsia="zh-CN"/>
        </w:rPr>
        <w:t>0</w:t>
      </w:r>
      <w:r>
        <w:rPr>
          <w:rFonts w:hint="eastAsia" w:ascii="仿宋_GB2312" w:hAnsi="仿宋_GB2312" w:eastAsia="仿宋_GB2312" w:cs="仿宋_GB2312"/>
          <w:sz w:val="32"/>
          <w:szCs w:val="32"/>
          <w:highlight w:val="none"/>
        </w:rPr>
        <w:t>%。主要原因是：</w:t>
      </w:r>
      <w:r>
        <w:rPr>
          <w:rFonts w:hint="eastAsia" w:ascii="仿宋_GB2312" w:hAnsi="仿宋_GB2312" w:eastAsia="仿宋_GB2312" w:cs="仿宋_GB2312"/>
          <w:sz w:val="32"/>
          <w:szCs w:val="32"/>
          <w:lang w:eastAsia="zh-CN"/>
        </w:rPr>
        <w:t>本级和所属单位均为事业单位，按照机关运行经费的口径，本年度机关运行经费为0。</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pPr>
        <w:pStyle w:val="12"/>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年度，会议费年初预算2万元，支出决算为0.38万元，完成年初预算的19%。用于召开文庙保护展示及配套设施建设项目勘察方案评审、中国孔庙保护协会年会会议，</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30</w:t>
      </w:r>
      <w:r>
        <w:rPr>
          <w:rFonts w:hint="eastAsia" w:ascii="仿宋_GB2312" w:hAnsi="仿宋_GB2312" w:eastAsia="仿宋_GB2312" w:cs="仿宋_GB2312"/>
          <w:sz w:val="32"/>
          <w:szCs w:val="32"/>
        </w:rPr>
        <w:t>人，内容为</w:t>
      </w:r>
      <w:r>
        <w:rPr>
          <w:rFonts w:hint="eastAsia" w:ascii="仿宋_GB2312" w:hAnsi="仿宋_GB2312" w:eastAsia="仿宋_GB2312" w:cs="仿宋_GB2312"/>
          <w:sz w:val="32"/>
          <w:szCs w:val="32"/>
          <w:lang w:val="en-US" w:eastAsia="zh-CN"/>
        </w:rPr>
        <w:t>文庙保护展示及配套设施建设项目勘察方案评审、中国孔庙保护协会年会</w:t>
      </w:r>
      <w:r>
        <w:rPr>
          <w:rFonts w:hint="eastAsia" w:ascii="仿宋_GB2312" w:hAnsi="仿宋_GB2312" w:eastAsia="仿宋_GB2312" w:cs="仿宋_GB2312"/>
          <w:sz w:val="32"/>
          <w:szCs w:val="32"/>
          <w:lang w:eastAsia="zh-CN"/>
        </w:rPr>
        <w:t>。</w:t>
      </w:r>
    </w:p>
    <w:p>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培训费年初预算1.4万元，支出决算为0.44万元，完成年初预算的31.43%。用于开展消防员培训、干部培训、事业单位人员培训，人数6人，内容为消防员培训、干部培训、事业单位人员培训。</w:t>
      </w:r>
    </w:p>
    <w:p>
      <w:pPr>
        <w:widowControl w:val="0"/>
        <w:autoSpaceDE w:val="0"/>
        <w:autoSpaceDN w:val="0"/>
        <w:adjustRightInd w:val="0"/>
        <w:ind w:firstLine="640" w:firstLineChars="200"/>
        <w:rPr>
          <w:rFonts w:hint="eastAsia" w:ascii="仿宋_GB2312" w:hAnsi="仿宋_GB2312" w:eastAsia="仿宋_GB2312" w:cs="仿宋_GB2312"/>
          <w:b/>
          <w:bCs/>
          <w:i/>
          <w:color w:val="FF0000"/>
          <w:kern w:val="0"/>
          <w:sz w:val="32"/>
          <w:szCs w:val="32"/>
          <w:highlight w:val="yellow"/>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举办节庆、晚会、论坛、赛事活动年初预算0万元，支出决算为0万元，完成年初预算的0%，主要是本单位无举办节庆、晚会、论坛、赛事等活动的预算和支出决算数。</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宋体" w:hAnsi="宋体" w:eastAsia="宋体"/>
          <w:i/>
          <w:color w:val="FF0000"/>
          <w:sz w:val="32"/>
          <w:szCs w:val="32"/>
          <w:lang w:val="en-US" w:eastAsia="zh-CN"/>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983.25</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241.38</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359.94</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381.93</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983.25</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val="en-US" w:eastAsia="zh-CN"/>
        </w:rPr>
        <w:t>983.25</w:t>
      </w:r>
      <w:r>
        <w:rPr>
          <w:rFonts w:hint="eastAsia" w:ascii="仿宋_GB2312" w:hAnsi="仿宋_GB2312" w:eastAsia="仿宋_GB2312" w:cs="仿宋_GB2312"/>
          <w:sz w:val="32"/>
          <w:szCs w:val="32"/>
        </w:rPr>
        <w:t>万元，</w:t>
      </w:r>
      <w:r>
        <w:rPr>
          <w:rFonts w:hint="eastAsia" w:ascii="仿宋_GB2312" w:hAnsi="仿宋_GB2312" w:eastAsia="仿宋_GB2312" w:cs="仿宋_GB2312"/>
          <w:color w:val="auto"/>
          <w:sz w:val="32"/>
          <w:szCs w:val="32"/>
        </w:rPr>
        <w:t>占</w:t>
      </w:r>
      <w:r>
        <w:rPr>
          <w:rFonts w:hint="eastAsia" w:ascii="仿宋_GB2312" w:hAnsi="仿宋_GB2312" w:eastAsia="仿宋_GB2312" w:cs="仿宋_GB2312"/>
          <w:color w:val="auto"/>
          <w:sz w:val="32"/>
          <w:szCs w:val="32"/>
          <w:lang w:eastAsia="zh-CN"/>
        </w:rPr>
        <w:t>授予中小企业合同金额</w:t>
      </w:r>
      <w:r>
        <w:rPr>
          <w:rFonts w:hint="eastAsia" w:ascii="仿宋_GB2312" w:hAnsi="仿宋_GB2312" w:eastAsia="仿宋_GB2312" w:cs="仿宋_GB2312"/>
          <w:color w:val="auto"/>
          <w:sz w:val="32"/>
          <w:szCs w:val="32"/>
        </w:rPr>
        <w:t>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100</w:t>
      </w:r>
      <w:r>
        <w:rPr>
          <w:rFonts w:hint="eastAsia" w:ascii="仿宋_GB2312" w:hAnsi="仿宋_GB2312" w:eastAsia="仿宋_GB2312" w:cs="仿宋_GB2312"/>
          <w:color w:val="auto"/>
          <w:sz w:val="32"/>
          <w:szCs w:val="32"/>
        </w:rPr>
        <w:t>%。</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部门（单位）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w:t>
      </w:r>
      <w:r>
        <w:rPr>
          <w:rFonts w:hint="eastAsia" w:hAnsi="黑体" w:cs="黑体"/>
          <w:b w:val="0"/>
          <w:bCs/>
          <w:color w:val="auto"/>
          <w:sz w:val="32"/>
          <w:szCs w:val="32"/>
          <w:highlight w:val="none"/>
          <w:lang w:eastAsia="zh-CN"/>
        </w:rPr>
        <w:t>四</w:t>
      </w:r>
      <w:r>
        <w:rPr>
          <w:rFonts w:hint="eastAsia" w:ascii="黑体" w:hAnsi="黑体" w:eastAsia="黑体" w:cs="黑体"/>
          <w:b w:val="0"/>
          <w:bCs/>
          <w:color w:val="auto"/>
          <w:sz w:val="32"/>
          <w:szCs w:val="32"/>
          <w:highlight w:val="none"/>
        </w:rPr>
        <w:t>、关于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4</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w:t>
      </w:r>
      <w:r>
        <w:rPr>
          <w:rFonts w:hint="eastAsia" w:hAnsi="黑体" w:cs="黑体"/>
          <w:b w:val="0"/>
          <w:bCs/>
          <w:color w:val="auto"/>
          <w:sz w:val="32"/>
          <w:szCs w:val="32"/>
          <w:highlight w:val="none"/>
          <w:lang w:eastAsia="zh-CN"/>
        </w:rPr>
        <w:t>管理</w:t>
      </w:r>
      <w:r>
        <w:rPr>
          <w:rFonts w:hint="eastAsia" w:ascii="黑体" w:hAnsi="黑体" w:eastAsia="黑体" w:cs="黑体"/>
          <w:b w:val="0"/>
          <w:bCs/>
          <w:color w:val="auto"/>
          <w:sz w:val="32"/>
          <w:szCs w:val="32"/>
          <w:highlight w:val="none"/>
        </w:rPr>
        <w:t>情况的说明</w:t>
      </w:r>
    </w:p>
    <w:p>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（一）绩效评价工作开展情况</w:t>
      </w:r>
    </w:p>
    <w:p>
      <w:pPr>
        <w:overflowPunct w:val="0"/>
        <w:spacing w:line="600" w:lineRule="exact"/>
        <w:ind w:firstLine="640" w:firstLineChars="200"/>
        <w:rPr>
          <w:rFonts w:hint="eastAsia" w:ascii="Times New Roman" w:hAnsi="Times New Roman" w:eastAsia="仿宋_GB2312" w:cs="Times New Roman"/>
          <w:kern w:val="0"/>
          <w:sz w:val="32"/>
          <w:szCs w:val="32"/>
          <w:highlight w:val="none"/>
          <w:lang w:eastAsia="zh-CN"/>
        </w:rPr>
      </w:pPr>
      <w:r>
        <w:rPr>
          <w:rFonts w:hint="eastAsia" w:ascii="Times New Roman" w:hAnsi="Times New Roman" w:eastAsia="仿宋_GB2312" w:cs="Times New Roman"/>
          <w:kern w:val="0"/>
          <w:sz w:val="32"/>
          <w:szCs w:val="32"/>
          <w:highlight w:val="none"/>
          <w:lang w:val="en-US" w:eastAsia="zh-CN"/>
        </w:rPr>
        <w:t>1.</w:t>
      </w:r>
      <w:r>
        <w:rPr>
          <w:rFonts w:hint="eastAsia" w:ascii="Times New Roman" w:hAnsi="Times New Roman" w:eastAsia="仿宋_GB2312" w:cs="Times New Roman"/>
          <w:b/>
          <w:bCs/>
          <w:kern w:val="0"/>
          <w:sz w:val="32"/>
          <w:szCs w:val="32"/>
          <w:lang w:val="en-US" w:eastAsia="zh-CN"/>
        </w:rPr>
        <w:t>绩</w:t>
      </w:r>
      <w:r>
        <w:rPr>
          <w:rFonts w:ascii="Times New Roman" w:hAnsi="Times New Roman" w:eastAsia="仿宋_GB2312" w:cs="Times New Roman"/>
          <w:b/>
          <w:bCs/>
          <w:kern w:val="0"/>
          <w:sz w:val="32"/>
          <w:szCs w:val="32"/>
        </w:rPr>
        <w:t>效自评开展情况。</w:t>
      </w:r>
      <w:r>
        <w:rPr>
          <w:rFonts w:ascii="Times New Roman" w:hAnsi="Times New Roman" w:eastAsia="仿宋_GB2312" w:cs="Times New Roman"/>
          <w:kern w:val="0"/>
          <w:sz w:val="32"/>
          <w:szCs w:val="32"/>
        </w:rPr>
        <w:t>组织对2024年度本部门（单位）整体支出开展绩效自评，涉及项目</w:t>
      </w: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kern w:val="0"/>
          <w:sz w:val="32"/>
          <w:szCs w:val="32"/>
        </w:rPr>
        <w:t>个，共涉及资金</w:t>
      </w:r>
      <w:r>
        <w:rPr>
          <w:rFonts w:hint="eastAsia" w:ascii="Times New Roman" w:hAnsi="Times New Roman" w:eastAsia="仿宋_GB2312" w:cs="Times New Roman"/>
          <w:kern w:val="0"/>
          <w:sz w:val="32"/>
          <w:szCs w:val="32"/>
          <w:lang w:val="en-US" w:eastAsia="zh-CN"/>
        </w:rPr>
        <w:t>316.66</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316.66</w:t>
      </w:r>
      <w:r>
        <w:rPr>
          <w:rFonts w:ascii="Times New Roman" w:hAnsi="Times New Roman" w:eastAsia="仿宋_GB2312" w:cs="Times New Roman"/>
          <w:kern w:val="0"/>
          <w:sz w:val="32"/>
          <w:szCs w:val="32"/>
        </w:rPr>
        <w:t>万元，占一般公共预算支出总额的</w:t>
      </w:r>
      <w:r>
        <w:rPr>
          <w:rFonts w:hint="eastAsia" w:ascii="Times New Roman" w:hAnsi="Times New Roman" w:eastAsia="仿宋_GB2312" w:cs="Times New Roman"/>
          <w:kern w:val="0"/>
          <w:sz w:val="32"/>
          <w:szCs w:val="32"/>
          <w:lang w:val="en-US" w:eastAsia="zh-CN"/>
        </w:rPr>
        <w:t>18.8</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万元，占政府性基金预算支出总额的</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万元，占国有资本经营预算支出总额的</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w:t>
      </w:r>
      <w:r>
        <w:rPr>
          <w:rFonts w:ascii="Times New Roman" w:hAnsi="Times New Roman" w:eastAsia="仿宋_GB2312" w:cs="Times New Roman"/>
          <w:kern w:val="0"/>
          <w:sz w:val="32"/>
          <w:szCs w:val="32"/>
          <w:highlight w:val="none"/>
        </w:rPr>
        <w:t>社会保险基金预算项目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个</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万元，占社会保险基金预算支出总额的</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w:t>
      </w:r>
    </w:p>
    <w:p>
      <w:pPr>
        <w:overflowPunct w:val="0"/>
        <w:spacing w:line="600" w:lineRule="exact"/>
        <w:ind w:firstLine="640" w:firstLineChars="200"/>
        <w:rPr>
          <w:rFonts w:hint="eastAsia" w:ascii="Times New Roman" w:hAnsi="Times New Roman" w:eastAsia="仿宋_GB2312" w:cs="Times New Roman"/>
          <w:color w:val="FF0000"/>
          <w:kern w:val="0"/>
          <w:sz w:val="32"/>
          <w:szCs w:val="32"/>
          <w:lang w:eastAsia="zh-CN"/>
        </w:rPr>
      </w:pPr>
      <w:r>
        <w:rPr>
          <w:rFonts w:hint="eastAsia" w:ascii="Times New Roman" w:hAnsi="Times New Roman" w:eastAsia="仿宋_GB2312" w:cs="Times New Roman"/>
          <w:kern w:val="0"/>
          <w:sz w:val="32"/>
          <w:szCs w:val="32"/>
          <w:highlight w:val="none"/>
          <w:lang w:val="en-US" w:eastAsia="zh-CN"/>
        </w:rPr>
        <w:t>2.</w:t>
      </w:r>
      <w:r>
        <w:rPr>
          <w:rFonts w:ascii="Times New Roman" w:hAnsi="Times New Roman" w:eastAsia="仿宋_GB2312" w:cs="Times New Roman"/>
          <w:b/>
          <w:bCs/>
          <w:kern w:val="0"/>
          <w:sz w:val="32"/>
          <w:szCs w:val="32"/>
        </w:rPr>
        <w:t>部门评价开展情况。</w:t>
      </w:r>
      <w:r>
        <w:rPr>
          <w:rFonts w:hint="eastAsia" w:ascii="Times New Roman" w:hAnsi="Times New Roman" w:eastAsia="仿宋_GB2312" w:cs="Times New Roman"/>
          <w:kern w:val="0"/>
          <w:sz w:val="32"/>
          <w:szCs w:val="32"/>
        </w:rPr>
        <w:t>本单位为二级预算单位，部门评价开展情况可详见上级部门决算公开说明</w:t>
      </w:r>
      <w:r>
        <w:rPr>
          <w:rFonts w:ascii="Times New Roman" w:hAnsi="Times New Roman" w:eastAsia="仿宋_GB2312" w:cs="Times New Roman"/>
          <w:kern w:val="0"/>
          <w:sz w:val="32"/>
          <w:szCs w:val="32"/>
        </w:rPr>
        <w:t>。</w:t>
      </w:r>
    </w:p>
    <w:p>
      <w:pPr>
        <w:overflowPunct w:val="0"/>
        <w:spacing w:line="600" w:lineRule="exact"/>
        <w:ind w:firstLine="640" w:firstLineChars="200"/>
        <w:rPr>
          <w:rFonts w:ascii="Times New Roman" w:hAnsi="Times New Roman" w:eastAsia="楷体" w:cs="Times New Roman"/>
          <w:b/>
          <w:bCs/>
          <w:sz w:val="32"/>
          <w:szCs w:val="32"/>
        </w:rPr>
      </w:pP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b/>
          <w:bCs/>
          <w:kern w:val="0"/>
          <w:sz w:val="32"/>
          <w:szCs w:val="32"/>
        </w:rPr>
        <w:t>事前绩效评估开展情况。</w:t>
      </w:r>
      <w:r>
        <w:rPr>
          <w:rFonts w:hint="eastAsia" w:ascii="Times New Roman" w:hAnsi="Times New Roman" w:eastAsia="仿宋_GB2312" w:cs="Times New Roman"/>
          <w:kern w:val="0"/>
          <w:sz w:val="32"/>
          <w:szCs w:val="32"/>
        </w:rPr>
        <w:t>本单位为二级预算单位，事前绩效评估开展情况可详见上级部门决算公开说明</w:t>
      </w:r>
      <w:r>
        <w:rPr>
          <w:rFonts w:ascii="Times New Roman" w:hAnsi="Times New Roman" w:eastAsia="仿宋_GB2312" w:cs="Times New Roman"/>
          <w:kern w:val="0"/>
          <w:sz w:val="32"/>
          <w:szCs w:val="32"/>
        </w:rPr>
        <w:t>。</w:t>
      </w:r>
    </w:p>
    <w:p>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（二）绩效评价结果</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jc w:val="left"/>
        <w:textAlignment w:val="auto"/>
        <w:rPr>
          <w:rFonts w:hint="eastAsia" w:ascii="Times New Roman" w:hAnsi="Times New Roman" w:eastAsia="仿宋_GB2312" w:cs="Times New Roman"/>
          <w:kern w:val="0"/>
          <w:sz w:val="32"/>
          <w:szCs w:val="32"/>
          <w:lang w:eastAsia="zh-CN"/>
        </w:rPr>
      </w:pP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b/>
          <w:bCs/>
          <w:kern w:val="0"/>
          <w:sz w:val="32"/>
          <w:szCs w:val="32"/>
        </w:rPr>
        <w:t>绩效自评结果。</w:t>
      </w:r>
      <w:r>
        <w:rPr>
          <w:rFonts w:ascii="Times New Roman" w:hAnsi="Times New Roman" w:eastAsia="仿宋_GB2312" w:cs="Times New Roman"/>
          <w:kern w:val="0"/>
          <w:sz w:val="32"/>
          <w:szCs w:val="32"/>
        </w:rPr>
        <w:t>2024年度本部门（单位）整体支出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2740.26</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2282.11</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83.28</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优秀</w:t>
      </w:r>
      <w:r>
        <w:rPr>
          <w:rFonts w:ascii="Times New Roman" w:hAnsi="Times New Roman" w:eastAsia="仿宋_GB2312" w:cs="Times New Roman"/>
          <w:sz w:val="32"/>
          <w:szCs w:val="32"/>
        </w:rPr>
        <w:t>”。绩效目标完成情况：一是</w:t>
      </w:r>
      <w:r>
        <w:rPr>
          <w:rFonts w:hint="eastAsia" w:ascii="Times New Roman" w:hAnsi="Times New Roman" w:eastAsia="仿宋_GB2312" w:cs="Times New Roman"/>
          <w:sz w:val="32"/>
          <w:szCs w:val="32"/>
        </w:rPr>
        <w:t>做好岳阳楼、岳阳文庙、岳州关、慈氏塔、鲁肃墓等文物点的安全巡查、台账记录等工作</w:t>
      </w:r>
      <w:r>
        <w:rPr>
          <w:rFonts w:ascii="Times New Roman" w:hAnsi="Times New Roman" w:eastAsia="仿宋_GB2312" w:cs="Times New Roman"/>
          <w:sz w:val="32"/>
          <w:szCs w:val="32"/>
        </w:rPr>
        <w:t>；二是</w:t>
      </w:r>
      <w:r>
        <w:rPr>
          <w:rFonts w:hint="eastAsia" w:ascii="Times New Roman" w:hAnsi="Times New Roman" w:eastAsia="仿宋_GB2312" w:cs="Times New Roman"/>
          <w:sz w:val="32"/>
          <w:szCs w:val="32"/>
        </w:rPr>
        <w:t>坚持保护第一，文物保护利用有新亮点，推进了岳阳文庙保护展示及配套服务设施建设、岳阳楼博物馆、岳州关展陈等项目建设</w:t>
      </w:r>
      <w:r>
        <w:rPr>
          <w:rFonts w:hint="eastAsia" w:ascii="Times New Roman" w:hAnsi="Times New Roman" w:eastAsia="仿宋_GB2312" w:cs="Times New Roman"/>
          <w:sz w:val="32"/>
          <w:szCs w:val="32"/>
          <w:lang w:eastAsia="zh-CN"/>
        </w:rPr>
        <w:t>；三是做好了岳阳楼、岳阳文庙白蚁防治，岳州关本体修缮等项目的立项申报；四是坚守匠心技艺，非遗保护传承有新动作。积极配合市局带队参加在常德市开展的2024年文化和自然遗产日湖南主场活动；完成了巴陵全鱼席制作技艺项目保护单位调整工作；推荐巴陵全鱼席省级非遗传承人参加2024年度岳阳市“巴陵工匠”选拔申报工作，并成功入选；申报完成了省级非遗代表性项目巴陵全鱼席制作技艺传承展示中心项目建设，申报项目资金76万元；五是先后派出中心骨干5人参加国家、省文物局开展的“四普”工作培训班，并协助市局完成岳阳市第四次全国文物普查实施方案。截止11月30日，已开展实地调查47天，累计田野出勤195天，完成“三普”文物点复核工作任务109处，协助楼区、临湘市复核“三普”文物点10处，新发现文物点15处，全年共普查文物点134处；六是坚持学术引领，考古勘探发掘有新成果。一是配合岳阳地区基本建设进行文物调查、勘探和抢救性考古发掘，共涉及“三建”工地50余个，涉及面积近400万余平方米，收取考古调查勘探经费406万元。先后完成省级重大项目虞公港疏港公路（二期），市级2023年第68—73批次建设用地等20个项目的调查勘探，累计勘探面积290万平方米；配合省考古院和市文物局完成岳阳文庙保护利用及配套工程项目等6个涉及全国重点和省级文物保护单位控建地带范围基本建设项目的调查勘探工作，累计勘探面积4万平方米；完成了临湘市洋溪村麻田坡宋代墓葬群抢救性考古发掘，共发掘墓葬2座，修复出土文物23件；二是协助省文物考古研究院完成了在罗子国城址等地开展的国家主动性文物考古课题；三是圆满完成财政局下达的400万元非税收入征收任务</w:t>
      </w:r>
      <w:r>
        <w:rPr>
          <w:rFonts w:ascii="Times New Roman" w:hAnsi="Times New Roman" w:eastAsia="仿宋_GB2312" w:cs="Times New Roman"/>
          <w:sz w:val="32"/>
          <w:szCs w:val="32"/>
        </w:rPr>
        <w:t>。发现的主要问题及原因：一是</w:t>
      </w:r>
      <w:r>
        <w:rPr>
          <w:rFonts w:hint="eastAsia" w:ascii="Times New Roman" w:hAnsi="Times New Roman" w:eastAsia="仿宋_GB2312" w:cs="Times New Roman"/>
          <w:sz w:val="32"/>
          <w:szCs w:val="32"/>
        </w:rPr>
        <w:t>预算执行率有待进一步提升，主要原因为部分文物修缮和安防升级项目尚未完工，部分费用未结算</w:t>
      </w:r>
      <w:r>
        <w:rPr>
          <w:rFonts w:ascii="Times New Roman" w:hAnsi="Times New Roman" w:eastAsia="仿宋_GB2312" w:cs="Times New Roman"/>
          <w:sz w:val="32"/>
          <w:szCs w:val="32"/>
        </w:rPr>
        <w:t>；二是</w:t>
      </w:r>
      <w:r>
        <w:rPr>
          <w:rFonts w:hint="eastAsia" w:ascii="Times New Roman" w:hAnsi="Times New Roman" w:eastAsia="仿宋_GB2312" w:cs="Times New Roman"/>
          <w:sz w:val="32"/>
          <w:szCs w:val="32"/>
        </w:rPr>
        <w:t>部分单位预算绩效目标编制不够规范，指标关联细化程度有待进一步提升，可衡量性不强。主要原因为绩效管理由财务部门兼任，财务人员大多为会计、财务管理等专业，绩效管理不但需要掌握财经知识，还需熟悉相关政策、了解项目业务情况，需要具备管理学、法学、统计学、工程学等方面的知识，并需要持续更新知识体系</w:t>
      </w:r>
      <w:r>
        <w:rPr>
          <w:rFonts w:ascii="Times New Roman" w:hAnsi="Times New Roman" w:eastAsia="仿宋_GB2312" w:cs="Times New Roman"/>
          <w:sz w:val="32"/>
          <w:szCs w:val="32"/>
        </w:rPr>
        <w:t>。下一步改进措施：一是</w:t>
      </w:r>
      <w:r>
        <w:rPr>
          <w:rFonts w:hint="eastAsia" w:ascii="Times New Roman" w:hAnsi="Times New Roman" w:eastAsia="仿宋_GB2312" w:cs="Times New Roman"/>
          <w:sz w:val="32"/>
          <w:szCs w:val="32"/>
        </w:rPr>
        <w:t>始终牢记总书记殷殷嘱托，深入学习贯彻习近平总书记文化思想，深刻领悟其高度的文化自觉、深沉的文化自信、勇毅的文化担当，不断加强理论学习、厚实理论功底、提高理论素养，脚踏实地，真抓实干，把学习成果转化为坚定理想、锤炼党性和指导实践、推动工作的强大力量，以积极担当作为的精气神为党和人民履好职、尽好责，使中心各项工作朝着正确方向、按照客观规律推进</w:t>
      </w:r>
      <w:r>
        <w:rPr>
          <w:rFonts w:ascii="Times New Roman" w:hAnsi="Times New Roman" w:eastAsia="仿宋_GB2312" w:cs="Times New Roman"/>
          <w:sz w:val="32"/>
          <w:szCs w:val="32"/>
        </w:rPr>
        <w:t>；二是</w:t>
      </w:r>
      <w:r>
        <w:rPr>
          <w:rFonts w:hint="eastAsia" w:ascii="Times New Roman" w:hAnsi="Times New Roman" w:eastAsia="仿宋_GB2312" w:cs="Times New Roman"/>
          <w:sz w:val="32"/>
          <w:szCs w:val="32"/>
        </w:rPr>
        <w:t>按照省文物局的统一部署和2024年度文物项目申报计划，全面梳理直辖管理的文物保护单位现状，紧盯政策导向，合理谋划储备，坚持科学运作，对已批复的国家、省级计划项目，扎实做好后续跟进工作，确保项目资金及时到位</w:t>
      </w:r>
      <w:r>
        <w:rPr>
          <w:rFonts w:hint="eastAsia" w:ascii="Times New Roman" w:hAnsi="Times New Roman" w:eastAsia="仿宋_GB2312" w:cs="Times New Roman"/>
          <w:sz w:val="32"/>
          <w:szCs w:val="32"/>
          <w:lang w:eastAsia="zh-CN"/>
        </w:rPr>
        <w:t>；三是始终坚持二十二字文物工作方针，结合文化遗产保护工作实际，紧紧围绕新时代新征程使命任务，进一步加大文物保护力度，坚决守牢文物安全底线，积极与岳阳海关联系对接，大力推进全国重点文物保护单位岳州关管理使用权的移交工作；开展第四次全国文物普查工作；争取完成北通巫峡牌坊修缮工程，岳阳楼消防、安防工程以及君山岛星云图周边环境整治工程；切实履行三定方案的职责职能，加强对县市区文物管理机构的业务指导；建强高素质专业化人才队伍建设，以“重实干重实绩”为鲜明导向，增强广大干部的政治担当、历史担当、责任担当；四是始终坚守初心使命，努力增强文化遗产保护高质量发展的紧迫感、责任感和使命感，扎实推进岳阳文庙恢复传统规制工作，打造岳阳文庙特色文化景区，按时按质完成省委巡视组和市委市政府交办的千秋伟业工程；举办《名楼论坛》和《纪念岳阳楼落架大修40周年》系列活动；积极推动岳阳楼及岳阳文庙历史文化研学课程开发项目；持续开展国学讲堂和系列节会活动，号召青少年从国学经典中汲取营养和智慧，引导人民群众领会优秀传统文化的精神内涵和价值，让更多的人成为中华文化的传承者、弘扬者、践行者；五是始终践行“两个结合”引领非遗文化传播传承，积极开展君山银针走进西藏公益活动，让“人类非物质文化遗产黄茶制作技艺（君山银针茶制作技艺）”走出去，让更多人感受中国茶文化的独特魅力；举办2024年文化和自然遗产日宣传活动，进一步提高人民群众非物质文化遗产保护意识，坚定文化自信；修订完善《岳阳市非物质文化遗产保护工作手册》，为我市非遗保护工作提供有力支撑</w:t>
      </w:r>
      <w:r>
        <w:rPr>
          <w:rFonts w:ascii="Times New Roman" w:hAnsi="Times New Roman" w:eastAsia="仿宋_GB2312" w:cs="Times New Roman"/>
          <w:sz w:val="32"/>
          <w:szCs w:val="32"/>
        </w:rPr>
        <w:t>。</w:t>
      </w:r>
    </w:p>
    <w:p>
      <w:pPr>
        <w:overflowPunct w:val="0"/>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b/>
          <w:bCs/>
          <w:kern w:val="0"/>
          <w:sz w:val="32"/>
          <w:szCs w:val="32"/>
        </w:rPr>
        <w:t>部门评价结果。</w:t>
      </w:r>
      <w:r>
        <w:rPr>
          <w:rFonts w:hint="eastAsia" w:ascii="Times New Roman" w:hAnsi="Times New Roman" w:eastAsia="仿宋_GB2312" w:cs="Times New Roman"/>
          <w:sz w:val="32"/>
          <w:szCs w:val="32"/>
        </w:rPr>
        <w:t>本单位为二级预算单位，部门评价结果可详见上级部门决算公开说明</w:t>
      </w:r>
      <w:r>
        <w:rPr>
          <w:rFonts w:ascii="Times New Roman" w:hAnsi="Times New Roman" w:eastAsia="仿宋_GB2312" w:cs="Times New Roman"/>
          <w:sz w:val="32"/>
          <w:szCs w:val="32"/>
        </w:rPr>
        <w:t>。</w:t>
      </w:r>
    </w:p>
    <w:p>
      <w:pPr>
        <w:overflowPunct w:val="0"/>
        <w:spacing w:line="600" w:lineRule="exact"/>
        <w:ind w:firstLine="640" w:firstLineChars="200"/>
        <w:rPr>
          <w:rFonts w:hint="eastAsia" w:ascii="Times New Roman" w:hAnsi="Times New Roman" w:eastAsia="仿宋_GB2312"/>
          <w:color w:val="FF0000"/>
          <w:sz w:val="32"/>
          <w:szCs w:val="32"/>
        </w:rPr>
      </w:pPr>
      <w:r>
        <w:rPr>
          <w:rFonts w:hint="eastAsia" w:ascii="Times New Roman" w:hAnsi="Times New Roman" w:eastAsia="仿宋_GB2312" w:cs="Times New Roman"/>
          <w:kern w:val="0"/>
          <w:sz w:val="32"/>
          <w:szCs w:val="32"/>
          <w:lang w:val="en-US" w:eastAsia="zh-CN"/>
        </w:rPr>
        <w:t>3.</w:t>
      </w:r>
      <w:r>
        <w:rPr>
          <w:rFonts w:hint="eastAsia" w:ascii="Times New Roman" w:hAnsi="Times New Roman" w:eastAsia="仿宋_GB2312" w:cs="Times New Roman"/>
          <w:b/>
          <w:bCs/>
          <w:kern w:val="0"/>
          <w:sz w:val="32"/>
          <w:szCs w:val="32"/>
          <w:highlight w:val="none"/>
          <w:lang w:val="en-US" w:eastAsia="zh-CN"/>
        </w:rPr>
        <w:t>事</w:t>
      </w:r>
      <w:r>
        <w:rPr>
          <w:rFonts w:ascii="Times New Roman" w:hAnsi="Times New Roman" w:eastAsia="仿宋_GB2312" w:cs="Times New Roman"/>
          <w:b/>
          <w:bCs/>
          <w:kern w:val="0"/>
          <w:sz w:val="32"/>
          <w:szCs w:val="32"/>
          <w:highlight w:val="none"/>
        </w:rPr>
        <w:t>前绩效评估结果。</w:t>
      </w:r>
      <w:r>
        <w:rPr>
          <w:rFonts w:hint="eastAsia" w:ascii="Times New Roman" w:hAnsi="Times New Roman" w:eastAsia="仿宋_GB2312" w:cs="Times New Roman"/>
          <w:kern w:val="0"/>
          <w:sz w:val="32"/>
          <w:szCs w:val="32"/>
          <w:highlight w:val="none"/>
        </w:rPr>
        <w:t>本单位为二级预算单位，事前绩效评估结果可详见上级部门决算公开说明</w:t>
      </w:r>
      <w:r>
        <w:rPr>
          <w:rFonts w:hint="eastAsia" w:ascii="Times New Roman" w:hAnsi="Times New Roman" w:eastAsia="仿宋_GB2312" w:cs="Times New Roman"/>
          <w:kern w:val="0"/>
          <w:sz w:val="32"/>
          <w:szCs w:val="32"/>
          <w:highlight w:val="none"/>
          <w:lang w:val="en-US" w:eastAsia="zh-CN"/>
        </w:rPr>
        <w:t>。</w:t>
      </w:r>
    </w:p>
    <w:p>
      <w:pPr>
        <w:numPr>
          <w:ilvl w:val="0"/>
          <w:numId w:val="3"/>
        </w:numPr>
        <w:autoSpaceDE w:val="0"/>
        <w:autoSpaceDN w:val="0"/>
        <w:adjustRightInd w:val="0"/>
        <w:ind w:firstLine="640" w:firstLineChars="200"/>
        <w:jc w:val="left"/>
        <w:rPr>
          <w:rFonts w:ascii="Times New Roman" w:hAnsi="Times New Roman" w:eastAsia="楷体_GB2312" w:cs="Times New Roman"/>
          <w:b/>
          <w:bCs/>
          <w:color w:val="auto"/>
          <w:kern w:val="2"/>
          <w:sz w:val="32"/>
          <w:szCs w:val="32"/>
          <w:highlight w:val="none"/>
        </w:rPr>
      </w:pPr>
      <w:r>
        <w:rPr>
          <w:rFonts w:ascii="Times New Roman" w:hAnsi="Times New Roman" w:eastAsia="楷体_GB2312" w:cs="Times New Roman"/>
          <w:b/>
          <w:bCs/>
          <w:color w:val="auto"/>
          <w:kern w:val="2"/>
          <w:sz w:val="32"/>
          <w:szCs w:val="32"/>
          <w:highlight w:val="none"/>
        </w:rPr>
        <w:t>评价结果应用情况</w:t>
      </w:r>
    </w:p>
    <w:p>
      <w:pPr>
        <w:numPr>
          <w:ilvl w:val="0"/>
          <w:numId w:val="0"/>
        </w:numPr>
        <w:autoSpaceDE w:val="0"/>
        <w:autoSpaceDN w:val="0"/>
        <w:adjustRightInd w:val="0"/>
        <w:ind w:firstLine="640" w:firstLineChars="200"/>
        <w:jc w:val="left"/>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请根据2024年度绩效自评结果、部门评价结果、</w:t>
      </w:r>
      <w:r>
        <w:rPr>
          <w:rFonts w:hint="eastAsia" w:ascii="Times New Roman" w:hAnsi="Times New Roman" w:eastAsia="仿宋_GB2312" w:cs="Times New Roman"/>
          <w:color w:val="auto"/>
          <w:sz w:val="32"/>
          <w:szCs w:val="32"/>
          <w:highlight w:val="none"/>
          <w:lang w:eastAsia="zh-CN"/>
        </w:rPr>
        <w:t>事前绩效</w:t>
      </w:r>
      <w:r>
        <w:rPr>
          <w:rFonts w:ascii="Times New Roman" w:hAnsi="Times New Roman" w:eastAsia="仿宋_GB2312" w:cs="Times New Roman"/>
          <w:color w:val="auto"/>
          <w:sz w:val="32"/>
          <w:szCs w:val="32"/>
          <w:highlight w:val="none"/>
        </w:rPr>
        <w:t>评价结果对本部门2025年度预算安排，支出结构调整，资金管理，制度建设等方面结果运用进行简要说明。</w:t>
      </w:r>
    </w:p>
    <w:p>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pPr>
        <w:pStyle w:val="2"/>
        <w:rPr>
          <w:rFonts w:hint="eastAsia"/>
          <w:lang w:val="en-US" w:eastAsia="zh-CN"/>
        </w:rPr>
      </w:pPr>
    </w:p>
    <w:p>
      <w:pPr>
        <w:numPr>
          <w:ilvl w:val="0"/>
          <w:numId w:val="0"/>
        </w:numPr>
        <w:autoSpaceDE w:val="0"/>
        <w:autoSpaceDN w:val="0"/>
        <w:adjustRightInd w:val="0"/>
        <w:jc w:val="left"/>
        <w:rPr>
          <w:rFonts w:hint="eastAsia" w:ascii="楷体" w:hAnsi="楷体" w:eastAsia="楷体" w:cs="楷体"/>
          <w:b/>
          <w:bCs/>
          <w:i w:val="0"/>
          <w:iCs w:val="0"/>
          <w:color w:val="FF0000"/>
          <w:kern w:val="0"/>
          <w:sz w:val="36"/>
          <w:szCs w:val="36"/>
          <w:lang w:val="en-US" w:eastAsia="zh-CN"/>
        </w:rPr>
      </w:pPr>
    </w:p>
    <w:p>
      <w:pPr>
        <w:pStyle w:val="12"/>
        <w:jc w:val="both"/>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pPr>
        <w:jc w:val="center"/>
        <w:rPr>
          <w:rFonts w:hint="eastAsia" w:ascii="方正小标宋_GBK" w:hAnsi="方正小标宋_GBK" w:eastAsia="方正小标宋_GBK" w:cs="方正小标宋_GBK"/>
          <w:color w:val="000000"/>
          <w:kern w:val="0"/>
          <w:sz w:val="70"/>
          <w:szCs w:val="70"/>
        </w:rPr>
      </w:pPr>
    </w:p>
    <w:p>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ind w:firstLine="640" w:firstLineChars="200"/>
        <w:jc w:val="left"/>
        <w:rPr>
          <w:rFonts w:hint="eastAsia" w:ascii="仿宋_GB2312" w:hAnsi="仿宋_GB2312" w:eastAsia="仿宋_GB2312" w:cs="仿宋_GB2312"/>
          <w:color w:val="000000"/>
          <w:kern w:val="0"/>
          <w:sz w:val="32"/>
          <w:szCs w:val="32"/>
        </w:rPr>
      </w:pPr>
    </w:p>
    <w:p>
      <w:pPr>
        <w:ind w:firstLine="640" w:firstLineChars="200"/>
        <w:jc w:val="left"/>
        <w:rPr>
          <w:rFonts w:hint="eastAsia" w:ascii="仿宋_GB2312" w:hAnsi="仿宋_GB2312" w:eastAsia="仿宋_GB2312" w:cs="仿宋_GB2312"/>
          <w:color w:val="000000"/>
          <w:kern w:val="0"/>
          <w:sz w:val="32"/>
          <w:szCs w:val="32"/>
        </w:rPr>
      </w:pPr>
    </w:p>
    <w:p>
      <w:pPr>
        <w:ind w:firstLine="640" w:firstLineChars="200"/>
        <w:jc w:val="left"/>
        <w:rPr>
          <w:rFonts w:hint="eastAsia" w:ascii="仿宋_GB2312" w:hAnsi="仿宋_GB2312" w:eastAsia="仿宋_GB2312" w:cs="仿宋_GB2312"/>
          <w:color w:val="000000"/>
          <w:kern w:val="0"/>
          <w:sz w:val="32"/>
          <w:szCs w:val="32"/>
        </w:rPr>
      </w:pPr>
    </w:p>
    <w:p>
      <w:pPr>
        <w:pStyle w:val="2"/>
        <w:rPr>
          <w:rFonts w:hint="eastAsia"/>
        </w:rPr>
      </w:pPr>
    </w:p>
    <w:p>
      <w:pPr>
        <w:ind w:firstLine="640" w:firstLineChars="200"/>
        <w:jc w:val="left"/>
        <w:rPr>
          <w:rFonts w:hint="eastAsia" w:ascii="仿宋_GB2312" w:hAnsi="仿宋_GB2312" w:eastAsia="仿宋_GB2312" w:cs="仿宋_GB2312"/>
          <w:color w:val="000000"/>
          <w:kern w:val="0"/>
          <w:sz w:val="32"/>
          <w:szCs w:val="32"/>
        </w:rPr>
      </w:pPr>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bookmarkStart w:id="0" w:name="_GoBack"/>
      <w:bookmarkEnd w:id="0"/>
    </w:p>
    <w:p>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w:t>
      </w:r>
      <w:r>
        <w:rPr>
          <w:rFonts w:hint="eastAsia" w:ascii="仿宋_GB2312" w:hAnsi="仿宋_GB2312" w:eastAsia="仿宋_GB2312" w:cs="仿宋_GB2312"/>
          <w:color w:val="000000"/>
          <w:kern w:val="0"/>
          <w:sz w:val="32"/>
          <w:szCs w:val="32"/>
          <w:lang w:eastAsia="zh-CN"/>
        </w:rPr>
        <w:t>，指为保障行政单位（包括参照公务员法管理的事业单位）运行用于购买货物和服务的各项资金</w:t>
      </w:r>
      <w:r>
        <w:rPr>
          <w:rFonts w:hint="eastAsia" w:ascii="仿宋_GB2312" w:hAnsi="仿宋_GB2312" w:eastAsia="仿宋_GB2312" w:cs="仿宋_GB2312"/>
          <w:color w:val="000000"/>
          <w:kern w:val="0"/>
          <w:sz w:val="32"/>
          <w:szCs w:val="32"/>
        </w:rPr>
        <w:t>，包括办公</w:t>
      </w:r>
      <w:r>
        <w:rPr>
          <w:rFonts w:hint="eastAsia" w:ascii="仿宋_GB2312" w:hAnsi="仿宋_GB2312" w:eastAsia="仿宋_GB2312" w:cs="仿宋_GB2312"/>
          <w:color w:val="000000"/>
          <w:kern w:val="0"/>
          <w:sz w:val="32"/>
          <w:szCs w:val="32"/>
          <w:lang w:eastAsia="zh-CN"/>
        </w:rPr>
        <w:t>费、</w:t>
      </w:r>
      <w:r>
        <w:rPr>
          <w:rFonts w:hint="eastAsia" w:ascii="仿宋_GB2312" w:hAnsi="仿宋_GB2312" w:eastAsia="仿宋_GB2312" w:cs="仿宋_GB2312"/>
          <w:color w:val="000000"/>
          <w:kern w:val="0"/>
          <w:sz w:val="32"/>
          <w:szCs w:val="32"/>
        </w:rPr>
        <w:t>印刷费、邮电费、差旅费、会议费、日常维修费、专用材料及一般设备购置费、办公用房水电费、办公用房取暖费、办公用房物业管理费、公务用车运行维护费以及其他费用。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p>
    <w:p>
      <w:pPr>
        <w:pStyle w:val="12"/>
        <w:jc w:val="center"/>
        <w:rPr>
          <w:rFonts w:hint="eastAsia" w:ascii="仿宋_GB2312" w:hAnsi="仿宋_GB2312" w:eastAsia="仿宋_GB2312" w:cs="仿宋_GB2312"/>
          <w:sz w:val="32"/>
          <w:szCs w:val="32"/>
        </w:rPr>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Pr>
        <w:pStyle w:val="2"/>
      </w:pPr>
    </w:p>
    <w:p>
      <w:pPr>
        <w:pStyle w:val="3"/>
      </w:pPr>
    </w:p>
    <w:p/>
    <w:p/>
    <w:p>
      <w:pPr>
        <w:pStyle w:val="2"/>
      </w:pPr>
    </w:p>
    <w:p>
      <w:pPr>
        <w:pStyle w:val="12"/>
        <w:jc w:val="both"/>
        <w:rPr>
          <w:rFonts w:hint="eastAsia" w:ascii="方正小标宋_GBK" w:hAnsi="方正小标宋_GBK" w:eastAsia="方正小标宋_GBK" w:cs="方正小标宋_GBK"/>
          <w:sz w:val="72"/>
          <w:szCs w:val="72"/>
        </w:rPr>
      </w:pPr>
    </w:p>
    <w:p>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pPr>
        <w:pStyle w:val="12"/>
        <w:jc w:val="both"/>
        <w:rPr>
          <w:rFonts w:hint="eastAsia" w:ascii="方正小标宋_GBK" w:hAnsi="方正小标宋_GBK" w:eastAsia="方正小标宋_GBK" w:cs="方正小标宋_GBK"/>
          <w:sz w:val="70"/>
          <w:szCs w:val="70"/>
          <w:lang w:eastAsia="zh-CN"/>
        </w:rPr>
      </w:pPr>
    </w:p>
    <w:p>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pPr>
        <w:ind w:firstLine="640" w:firstLineChars="200"/>
        <w:jc w:val="left"/>
        <w:rPr>
          <w:rFonts w:hint="eastAsia" w:ascii="宋体" w:hAnsi="宋体" w:eastAsia="宋体" w:cs="黑体"/>
          <w:b/>
          <w:color w:val="000000"/>
          <w:kern w:val="0"/>
          <w:sz w:val="32"/>
          <w:szCs w:val="32"/>
          <w:lang w:val="en-US" w:eastAsia="zh-CN"/>
        </w:rPr>
      </w:pPr>
    </w:p>
    <w:p>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w:t>
      </w:r>
      <w:r>
        <w:rPr>
          <w:rFonts w:hint="eastAsia" w:ascii="宋体" w:hAnsi="宋体" w:eastAsia="宋体" w:cs="黑体"/>
          <w:b/>
          <w:color w:val="000000"/>
          <w:kern w:val="0"/>
          <w:sz w:val="32"/>
          <w:szCs w:val="32"/>
          <w:highlight w:val="none"/>
          <w:lang w:val="en-US" w:eastAsia="zh-CN"/>
        </w:rPr>
        <w:t>2024</w:t>
      </w:r>
      <w:r>
        <w:rPr>
          <w:rFonts w:hint="eastAsia" w:ascii="宋体" w:hAnsi="宋体" w:eastAsia="宋体" w:cs="黑体"/>
          <w:b/>
          <w:color w:val="000000"/>
          <w:kern w:val="0"/>
          <w:sz w:val="32"/>
          <w:szCs w:val="32"/>
          <w:lang w:val="en-US" w:eastAsia="zh-CN"/>
        </w:rPr>
        <w:t>年部门决算公开表格</w:t>
      </w:r>
    </w:p>
    <w:p>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highlight w:val="none"/>
        </w:rPr>
        <w:t>202</w:t>
      </w:r>
      <w:r>
        <w:rPr>
          <w:rFonts w:hint="eastAsia" w:ascii="宋体" w:hAnsi="宋体" w:eastAsia="宋体" w:cs="黑体"/>
          <w:b/>
          <w:color w:val="000000"/>
          <w:kern w:val="0"/>
          <w:sz w:val="32"/>
          <w:szCs w:val="32"/>
          <w:highlight w:val="none"/>
          <w:lang w:val="en-US" w:eastAsia="zh-CN"/>
        </w:rPr>
        <w:t>4</w:t>
      </w:r>
      <w:r>
        <w:rPr>
          <w:rFonts w:hint="eastAsia" w:ascii="宋体" w:hAnsi="宋体" w:eastAsia="宋体" w:cs="黑体"/>
          <w:b/>
          <w:color w:val="000000"/>
          <w:kern w:val="0"/>
          <w:sz w:val="32"/>
          <w:szCs w:val="32"/>
        </w:rPr>
        <w:t>年度部门整体支出绩效评价报告</w:t>
      </w:r>
    </w:p>
    <w:p/>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Arial Unicode MS"/>
    <w:panose1 w:val="02000000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ECFD4"/>
    <w:multiLevelType w:val="singleLevel"/>
    <w:tmpl w:val="8EDECFD4"/>
    <w:lvl w:ilvl="0" w:tentative="0">
      <w:start w:val="3"/>
      <w:numFmt w:val="chineseCounting"/>
      <w:suff w:val="nothing"/>
      <w:lvlText w:val="（%1）"/>
      <w:lvlJc w:val="left"/>
      <w:rPr>
        <w:rFonts w:hint="eastAsia"/>
      </w:rPr>
    </w:lvl>
  </w:abstractNum>
  <w:abstractNum w:abstractNumId="1">
    <w:nsid w:val="E3CBC331"/>
    <w:multiLevelType w:val="singleLevel"/>
    <w:tmpl w:val="E3CBC331"/>
    <w:lvl w:ilvl="0" w:tentative="0">
      <w:start w:val="3"/>
      <w:numFmt w:val="decimal"/>
      <w:lvlText w:val="%1."/>
      <w:lvlJc w:val="left"/>
      <w:pPr>
        <w:tabs>
          <w:tab w:val="left" w:pos="312"/>
        </w:tabs>
      </w:pPr>
    </w:lvl>
  </w:abstractNum>
  <w:abstractNum w:abstractNumId="2">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4F696B"/>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AC15A4"/>
    <w:rsid w:val="0264611C"/>
    <w:rsid w:val="05161364"/>
    <w:rsid w:val="059958AD"/>
    <w:rsid w:val="06794F05"/>
    <w:rsid w:val="06C857E7"/>
    <w:rsid w:val="08C24A73"/>
    <w:rsid w:val="09D078AE"/>
    <w:rsid w:val="0AA3551F"/>
    <w:rsid w:val="0AFA2706"/>
    <w:rsid w:val="0B0B1433"/>
    <w:rsid w:val="0B1266AC"/>
    <w:rsid w:val="0C084484"/>
    <w:rsid w:val="0CB96C11"/>
    <w:rsid w:val="0DE46F59"/>
    <w:rsid w:val="11944E2C"/>
    <w:rsid w:val="12583BA5"/>
    <w:rsid w:val="13BA5B9C"/>
    <w:rsid w:val="14CB53AA"/>
    <w:rsid w:val="15232C77"/>
    <w:rsid w:val="156E2B24"/>
    <w:rsid w:val="163C5239"/>
    <w:rsid w:val="16B7684F"/>
    <w:rsid w:val="16F14633"/>
    <w:rsid w:val="170C209E"/>
    <w:rsid w:val="19F74186"/>
    <w:rsid w:val="1A94296D"/>
    <w:rsid w:val="1B175CFB"/>
    <w:rsid w:val="1D97DEFF"/>
    <w:rsid w:val="1DCB4294"/>
    <w:rsid w:val="1DFF72E5"/>
    <w:rsid w:val="1E5828D6"/>
    <w:rsid w:val="1EFC6F07"/>
    <w:rsid w:val="1F0527A6"/>
    <w:rsid w:val="1F7D553E"/>
    <w:rsid w:val="1FFE011B"/>
    <w:rsid w:val="20EA738C"/>
    <w:rsid w:val="21BC4359"/>
    <w:rsid w:val="22846469"/>
    <w:rsid w:val="22AC03C2"/>
    <w:rsid w:val="23CD2210"/>
    <w:rsid w:val="255B6EE5"/>
    <w:rsid w:val="25C153AE"/>
    <w:rsid w:val="264618FA"/>
    <w:rsid w:val="26A23E26"/>
    <w:rsid w:val="274403BD"/>
    <w:rsid w:val="28392BAC"/>
    <w:rsid w:val="283B15FE"/>
    <w:rsid w:val="296E7262"/>
    <w:rsid w:val="29EC5E8A"/>
    <w:rsid w:val="2A8338F6"/>
    <w:rsid w:val="2B2D0D9B"/>
    <w:rsid w:val="2EF71375"/>
    <w:rsid w:val="2FDF85B8"/>
    <w:rsid w:val="2FFFEE04"/>
    <w:rsid w:val="31444CA9"/>
    <w:rsid w:val="31C95635"/>
    <w:rsid w:val="31F07EFE"/>
    <w:rsid w:val="32083AC9"/>
    <w:rsid w:val="321D581C"/>
    <w:rsid w:val="3354249B"/>
    <w:rsid w:val="33B65F28"/>
    <w:rsid w:val="34A22AE6"/>
    <w:rsid w:val="34DF85B0"/>
    <w:rsid w:val="35B47EEF"/>
    <w:rsid w:val="3A611E82"/>
    <w:rsid w:val="3B8F36BC"/>
    <w:rsid w:val="3D272209"/>
    <w:rsid w:val="3D6F3ADB"/>
    <w:rsid w:val="3EE272F8"/>
    <w:rsid w:val="3F011FB6"/>
    <w:rsid w:val="406B3DDC"/>
    <w:rsid w:val="41942B6B"/>
    <w:rsid w:val="43EB5BA5"/>
    <w:rsid w:val="443121BC"/>
    <w:rsid w:val="473001C4"/>
    <w:rsid w:val="478B587E"/>
    <w:rsid w:val="489E48D3"/>
    <w:rsid w:val="491133DE"/>
    <w:rsid w:val="491FF225"/>
    <w:rsid w:val="4AC666D1"/>
    <w:rsid w:val="4AFC3E7C"/>
    <w:rsid w:val="4AFF5057"/>
    <w:rsid w:val="4B2961F8"/>
    <w:rsid w:val="4B871792"/>
    <w:rsid w:val="4D0C7EB9"/>
    <w:rsid w:val="4DD51AB2"/>
    <w:rsid w:val="4E03750E"/>
    <w:rsid w:val="4EC310A1"/>
    <w:rsid w:val="4FFD214C"/>
    <w:rsid w:val="531D5A98"/>
    <w:rsid w:val="5352765A"/>
    <w:rsid w:val="54611D51"/>
    <w:rsid w:val="549A192F"/>
    <w:rsid w:val="54F36F93"/>
    <w:rsid w:val="559B1181"/>
    <w:rsid w:val="55F51599"/>
    <w:rsid w:val="565132A5"/>
    <w:rsid w:val="567240FC"/>
    <w:rsid w:val="5777D4F5"/>
    <w:rsid w:val="57F22B6F"/>
    <w:rsid w:val="581408D6"/>
    <w:rsid w:val="58263ED1"/>
    <w:rsid w:val="582935EE"/>
    <w:rsid w:val="59DD8326"/>
    <w:rsid w:val="5A320BB6"/>
    <w:rsid w:val="5A9E6BA3"/>
    <w:rsid w:val="5B1A7FDF"/>
    <w:rsid w:val="5D05319C"/>
    <w:rsid w:val="5D1B2E62"/>
    <w:rsid w:val="5DE8756B"/>
    <w:rsid w:val="5DEF592A"/>
    <w:rsid w:val="5E0B52B6"/>
    <w:rsid w:val="5E39532F"/>
    <w:rsid w:val="5E865022"/>
    <w:rsid w:val="5ED16CFE"/>
    <w:rsid w:val="5F4A0FD9"/>
    <w:rsid w:val="5FBC6148"/>
    <w:rsid w:val="5FC6BB1E"/>
    <w:rsid w:val="5FF720F1"/>
    <w:rsid w:val="608701E5"/>
    <w:rsid w:val="61536C16"/>
    <w:rsid w:val="61B256D1"/>
    <w:rsid w:val="622964C1"/>
    <w:rsid w:val="625F2CA3"/>
    <w:rsid w:val="63F7563F"/>
    <w:rsid w:val="640A1AC7"/>
    <w:rsid w:val="656B7183"/>
    <w:rsid w:val="659D17B6"/>
    <w:rsid w:val="66265E95"/>
    <w:rsid w:val="66A62C4C"/>
    <w:rsid w:val="671B4A1C"/>
    <w:rsid w:val="678E732F"/>
    <w:rsid w:val="67BD2396"/>
    <w:rsid w:val="67FD7A0A"/>
    <w:rsid w:val="67FF5C0B"/>
    <w:rsid w:val="6869568A"/>
    <w:rsid w:val="6A291EA8"/>
    <w:rsid w:val="6AE05B8B"/>
    <w:rsid w:val="6BAA4A2F"/>
    <w:rsid w:val="6BD03361"/>
    <w:rsid w:val="6D0448B3"/>
    <w:rsid w:val="6DAA55DF"/>
    <w:rsid w:val="6DDEC5C0"/>
    <w:rsid w:val="6EF50787"/>
    <w:rsid w:val="6EFC0924"/>
    <w:rsid w:val="6F6237DC"/>
    <w:rsid w:val="6FB74722"/>
    <w:rsid w:val="6FDA00A8"/>
    <w:rsid w:val="6FEF8B7E"/>
    <w:rsid w:val="71737DC9"/>
    <w:rsid w:val="717FE77F"/>
    <w:rsid w:val="71A6591B"/>
    <w:rsid w:val="72BF7C4E"/>
    <w:rsid w:val="731F149F"/>
    <w:rsid w:val="737D59BA"/>
    <w:rsid w:val="737F32B1"/>
    <w:rsid w:val="73BD3FCA"/>
    <w:rsid w:val="749E5641"/>
    <w:rsid w:val="754732AE"/>
    <w:rsid w:val="75F52E16"/>
    <w:rsid w:val="76F3796F"/>
    <w:rsid w:val="77062342"/>
    <w:rsid w:val="776BDA01"/>
    <w:rsid w:val="77C37683"/>
    <w:rsid w:val="77CB7751"/>
    <w:rsid w:val="78CE48A5"/>
    <w:rsid w:val="79A33F62"/>
    <w:rsid w:val="79FF515B"/>
    <w:rsid w:val="7B133B27"/>
    <w:rsid w:val="7DD31FFC"/>
    <w:rsid w:val="7DFBFF20"/>
    <w:rsid w:val="7E753CBB"/>
    <w:rsid w:val="7E7A2568"/>
    <w:rsid w:val="7E9E1962"/>
    <w:rsid w:val="7E9F11B4"/>
    <w:rsid w:val="7EBB1ABF"/>
    <w:rsid w:val="7F1F0AA7"/>
    <w:rsid w:val="7F37EC1E"/>
    <w:rsid w:val="7F441A8B"/>
    <w:rsid w:val="7F7C0DDA"/>
    <w:rsid w:val="7F7DCD9D"/>
    <w:rsid w:val="7F970A6F"/>
    <w:rsid w:val="7FC1FFF3"/>
    <w:rsid w:val="7FC69637"/>
    <w:rsid w:val="7FDF8620"/>
    <w:rsid w:val="7FFB242F"/>
    <w:rsid w:val="7FFDB408"/>
    <w:rsid w:val="7FFE4EEB"/>
    <w:rsid w:val="95FB2B98"/>
    <w:rsid w:val="9A639BC2"/>
    <w:rsid w:val="9FF7D786"/>
    <w:rsid w:val="ABBFB23D"/>
    <w:rsid w:val="B6BE5A03"/>
    <w:rsid w:val="B8C93228"/>
    <w:rsid w:val="C3B4DA5A"/>
    <w:rsid w:val="C4FF458C"/>
    <w:rsid w:val="C7BBD038"/>
    <w:rsid w:val="CBFF70E0"/>
    <w:rsid w:val="CFF50B82"/>
    <w:rsid w:val="CFFFAD89"/>
    <w:rsid w:val="DFFE359E"/>
    <w:rsid w:val="DFFE4FFD"/>
    <w:rsid w:val="DFFF5403"/>
    <w:rsid w:val="EBC3E00A"/>
    <w:rsid w:val="EDFBE100"/>
    <w:rsid w:val="EEABED75"/>
    <w:rsid w:val="EF7E8003"/>
    <w:rsid w:val="F56FDF51"/>
    <w:rsid w:val="F5F3EE78"/>
    <w:rsid w:val="F6B69F17"/>
    <w:rsid w:val="F6E5BB3A"/>
    <w:rsid w:val="F77F1D61"/>
    <w:rsid w:val="F7FED3A9"/>
    <w:rsid w:val="F8C9DB26"/>
    <w:rsid w:val="F97E8EAE"/>
    <w:rsid w:val="FB36E1A6"/>
    <w:rsid w:val="FB3BE134"/>
    <w:rsid w:val="FCFF4275"/>
    <w:rsid w:val="FD7FEEEA"/>
    <w:rsid w:val="FDFFB577"/>
    <w:rsid w:val="FEEA50FE"/>
    <w:rsid w:val="FF7D47A9"/>
    <w:rsid w:val="FFCF21CB"/>
    <w:rsid w:val="FFF94102"/>
    <w:rsid w:val="FFFF1C8B"/>
    <w:rsid w:val="FFFF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4"/>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5"/>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20</Pages>
  <Words>1347</Words>
  <Characters>7679</Characters>
  <Lines>63</Lines>
  <Paragraphs>18</Paragraphs>
  <TotalTime>3</TotalTime>
  <ScaleCrop>false</ScaleCrop>
  <LinksUpToDate>false</LinksUpToDate>
  <CharactersWithSpaces>9008</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2020-07-10T18:32:00Z</dcterms:created>
  <dc:creator>李航 null</dc:creator>
  <cp:lastModifiedBy>Administrator</cp:lastModifiedBy>
  <cp:lastPrinted>2024-08-11T02:20:00Z</cp:lastPrinted>
  <dcterms:modified xsi:type="dcterms:W3CDTF">2025-09-29T04:16:15Z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98623D6660B449428EB8E073C6C952EA</vt:lpwstr>
  </property>
</Properties>
</file>